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8A24" w14:textId="77777777" w:rsidR="009F28D7" w:rsidRPr="005950A0" w:rsidRDefault="009F28D7" w:rsidP="005950A0">
      <w:pPr>
        <w:spacing w:line="276" w:lineRule="auto"/>
        <w:jc w:val="center"/>
        <w:rPr>
          <w:b/>
          <w:sz w:val="20"/>
          <w:szCs w:val="20"/>
        </w:rPr>
      </w:pPr>
    </w:p>
    <w:p w14:paraId="1B9E48B8" w14:textId="77777777" w:rsidR="00FE5003" w:rsidRDefault="00FE5003" w:rsidP="005950A0">
      <w:pPr>
        <w:spacing w:line="276" w:lineRule="auto"/>
        <w:jc w:val="center"/>
        <w:rPr>
          <w:b/>
          <w:sz w:val="20"/>
          <w:szCs w:val="20"/>
        </w:rPr>
      </w:pPr>
    </w:p>
    <w:p w14:paraId="07E6A3BC" w14:textId="4DD91242" w:rsidR="009F28D7" w:rsidRPr="005950A0" w:rsidRDefault="009F28D7" w:rsidP="005950A0">
      <w:pPr>
        <w:spacing w:line="276" w:lineRule="auto"/>
        <w:jc w:val="center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PROGRAMME DE R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>INSTALLATION DE R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>FUGI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 xml:space="preserve">S EN FRANCE </w:t>
      </w:r>
      <w:r w:rsidR="00456A03" w:rsidRPr="005950A0">
        <w:rPr>
          <w:b/>
          <w:sz w:val="20"/>
          <w:szCs w:val="20"/>
        </w:rPr>
        <w:t>202</w:t>
      </w:r>
      <w:r w:rsidR="006C47FC">
        <w:rPr>
          <w:b/>
          <w:sz w:val="20"/>
          <w:szCs w:val="20"/>
        </w:rPr>
        <w:t>5</w:t>
      </w:r>
    </w:p>
    <w:p w14:paraId="36241606" w14:textId="74A823C5" w:rsidR="009F28D7" w:rsidRPr="005950A0" w:rsidRDefault="009F28D7" w:rsidP="005950A0">
      <w:pPr>
        <w:spacing w:after="0" w:line="276" w:lineRule="auto"/>
        <w:jc w:val="center"/>
        <w:rPr>
          <w:sz w:val="20"/>
          <w:szCs w:val="20"/>
        </w:rPr>
      </w:pPr>
      <w:r w:rsidRPr="005950A0">
        <w:rPr>
          <w:sz w:val="20"/>
          <w:szCs w:val="20"/>
        </w:rPr>
        <w:t xml:space="preserve">APPEL </w:t>
      </w:r>
      <w:r w:rsidRPr="005950A0">
        <w:rPr>
          <w:rFonts w:cs="Times New Roman"/>
          <w:sz w:val="20"/>
          <w:szCs w:val="20"/>
        </w:rPr>
        <w:t>À</w:t>
      </w:r>
      <w:r w:rsidRPr="005950A0">
        <w:rPr>
          <w:sz w:val="20"/>
          <w:szCs w:val="20"/>
        </w:rPr>
        <w:t xml:space="preserve"> PROJETS DE LA R</w:t>
      </w:r>
      <w:r w:rsidRPr="005950A0">
        <w:rPr>
          <w:rFonts w:cs="Times New Roman"/>
          <w:sz w:val="20"/>
          <w:szCs w:val="20"/>
        </w:rPr>
        <w:t>É</w:t>
      </w:r>
      <w:r w:rsidRPr="005950A0">
        <w:rPr>
          <w:sz w:val="20"/>
          <w:szCs w:val="20"/>
        </w:rPr>
        <w:t xml:space="preserve">GION </w:t>
      </w:r>
      <w:r w:rsidR="006C47FC">
        <w:rPr>
          <w:sz w:val="20"/>
          <w:szCs w:val="20"/>
        </w:rPr>
        <w:t>BFC</w:t>
      </w:r>
    </w:p>
    <w:p w14:paraId="5A6DE7A7" w14:textId="7DCE9265" w:rsidR="00742A20" w:rsidRPr="005950A0" w:rsidRDefault="009F28D7" w:rsidP="005950A0">
      <w:pPr>
        <w:spacing w:after="0" w:line="276" w:lineRule="auto"/>
        <w:jc w:val="center"/>
        <w:rPr>
          <w:b/>
          <w:sz w:val="20"/>
          <w:szCs w:val="20"/>
        </w:rPr>
      </w:pPr>
      <w:r w:rsidRPr="005950A0">
        <w:rPr>
          <w:i/>
          <w:sz w:val="20"/>
          <w:szCs w:val="20"/>
        </w:rPr>
        <w:t xml:space="preserve">Publié le </w:t>
      </w:r>
      <w:r w:rsidR="00F72337">
        <w:rPr>
          <w:i/>
          <w:sz w:val="20"/>
          <w:szCs w:val="20"/>
        </w:rPr>
        <w:t>1</w:t>
      </w:r>
      <w:r w:rsidR="007C10C2">
        <w:rPr>
          <w:i/>
          <w:sz w:val="20"/>
          <w:szCs w:val="20"/>
        </w:rPr>
        <w:t>9</w:t>
      </w:r>
      <w:r w:rsidR="00F72337">
        <w:rPr>
          <w:i/>
          <w:sz w:val="20"/>
          <w:szCs w:val="20"/>
        </w:rPr>
        <w:t xml:space="preserve"> décembre 2024</w:t>
      </w:r>
    </w:p>
    <w:p w14:paraId="6B93CD39" w14:textId="77777777" w:rsidR="0088167D" w:rsidRPr="005950A0" w:rsidRDefault="0088167D" w:rsidP="005950A0">
      <w:pPr>
        <w:spacing w:after="0" w:line="276" w:lineRule="auto"/>
        <w:rPr>
          <w:b/>
          <w:sz w:val="20"/>
          <w:szCs w:val="20"/>
        </w:rPr>
      </w:pPr>
    </w:p>
    <w:p w14:paraId="6FEE00B6" w14:textId="5EED13FF" w:rsidR="00AF232C" w:rsidRPr="005950A0" w:rsidRDefault="00AF232C" w:rsidP="005950A0">
      <w:pPr>
        <w:shd w:val="clear" w:color="auto" w:fill="D5DCE4" w:themeFill="text2" w:themeFillTint="33"/>
        <w:tabs>
          <w:tab w:val="left" w:pos="1485"/>
        </w:tabs>
        <w:spacing w:after="0"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PR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>ALABLE</w:t>
      </w:r>
      <w:r w:rsidR="00051C48" w:rsidRPr="005950A0">
        <w:rPr>
          <w:b/>
          <w:sz w:val="20"/>
          <w:szCs w:val="20"/>
        </w:rPr>
        <w:tab/>
      </w:r>
    </w:p>
    <w:p w14:paraId="720B3F31" w14:textId="77777777" w:rsidR="005208FB" w:rsidRPr="005950A0" w:rsidRDefault="005208FB" w:rsidP="005950A0">
      <w:pPr>
        <w:spacing w:after="0" w:line="276" w:lineRule="auto"/>
        <w:rPr>
          <w:sz w:val="20"/>
          <w:szCs w:val="20"/>
        </w:rPr>
      </w:pPr>
    </w:p>
    <w:p w14:paraId="167AD940" w14:textId="59FDAD09" w:rsidR="005950A0" w:rsidRDefault="00AF232C" w:rsidP="005950A0">
      <w:pPr>
        <w:spacing w:line="276" w:lineRule="auto"/>
        <w:rPr>
          <w:color w:val="FFFFFF" w:themeColor="background1"/>
          <w:sz w:val="20"/>
          <w:szCs w:val="20"/>
        </w:rPr>
      </w:pPr>
      <w:r w:rsidRPr="005950A0">
        <w:rPr>
          <w:sz w:val="20"/>
          <w:szCs w:val="20"/>
        </w:rPr>
        <w:t xml:space="preserve">L’appel à projets est ouvert du </w:t>
      </w:r>
      <w:bookmarkStart w:id="0" w:name="_Hlk86397214"/>
      <w:r w:rsidR="00F72337">
        <w:rPr>
          <w:sz w:val="20"/>
          <w:szCs w:val="20"/>
        </w:rPr>
        <w:t>1</w:t>
      </w:r>
      <w:r w:rsidR="007C10C2">
        <w:rPr>
          <w:sz w:val="20"/>
          <w:szCs w:val="20"/>
        </w:rPr>
        <w:t>9</w:t>
      </w:r>
      <w:r w:rsidR="00F72337">
        <w:rPr>
          <w:sz w:val="20"/>
          <w:szCs w:val="20"/>
        </w:rPr>
        <w:t xml:space="preserve"> décembre 2024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rFonts w:cs="Calibri"/>
          <w:sz w:val="20"/>
          <w:szCs w:val="20"/>
        </w:rPr>
        <w:t>au</w:t>
      </w:r>
      <w:r w:rsidRPr="005950A0">
        <w:rPr>
          <w:sz w:val="20"/>
          <w:szCs w:val="20"/>
        </w:rPr>
        <w:t xml:space="preserve"> </w:t>
      </w:r>
      <w:bookmarkEnd w:id="0"/>
      <w:r w:rsidR="00F72337">
        <w:rPr>
          <w:sz w:val="20"/>
          <w:szCs w:val="20"/>
        </w:rPr>
        <w:t>30 janvier 2025</w:t>
      </w:r>
      <w:r w:rsidRPr="005950A0">
        <w:rPr>
          <w:rFonts w:cs="Calibri"/>
          <w:sz w:val="20"/>
          <w:szCs w:val="20"/>
        </w:rPr>
        <w:t>. Toutes les demandes de subvention doivent être adressées à</w:t>
      </w:r>
      <w:r w:rsidRPr="005950A0">
        <w:rPr>
          <w:sz w:val="20"/>
          <w:szCs w:val="20"/>
        </w:rPr>
        <w:t xml:space="preserve"> l’adresse suivante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sz w:val="20"/>
          <w:szCs w:val="20"/>
        </w:rPr>
        <w:t xml:space="preserve">: </w:t>
      </w:r>
      <w:hyperlink r:id="rId8" w:history="1">
        <w:r w:rsidR="006C47FC" w:rsidRPr="00EF58F4">
          <w:rPr>
            <w:rStyle w:val="Lienhypertexte"/>
            <w:sz w:val="20"/>
            <w:szCs w:val="20"/>
          </w:rPr>
          <w:t>dreets-bfc.iss@dreets.gouv.fr</w:t>
        </w:r>
      </w:hyperlink>
    </w:p>
    <w:p w14:paraId="400AAC51" w14:textId="01ED3B91" w:rsidR="00D86F1F" w:rsidRPr="005950A0" w:rsidRDefault="00A70DBC" w:rsidP="005950A0">
      <w:pPr>
        <w:spacing w:line="276" w:lineRule="auto"/>
        <w:rPr>
          <w:color w:val="FFFFFF" w:themeColor="background1"/>
          <w:sz w:val="20"/>
          <w:szCs w:val="20"/>
        </w:rPr>
      </w:pPr>
      <w:r w:rsidRPr="005950A0">
        <w:rPr>
          <w:color w:val="FFFFFF" w:themeColor="background1"/>
          <w:sz w:val="20"/>
          <w:szCs w:val="20"/>
        </w:rPr>
        <w:tab/>
      </w:r>
    </w:p>
    <w:p w14:paraId="748173A4" w14:textId="43D8DCC5" w:rsidR="0038700A" w:rsidRPr="005950A0" w:rsidRDefault="0088167D" w:rsidP="005950A0">
      <w:pPr>
        <w:shd w:val="clear" w:color="auto" w:fill="D5DCE4" w:themeFill="text2" w:themeFillTint="33"/>
        <w:tabs>
          <w:tab w:val="center" w:pos="4536"/>
        </w:tabs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 xml:space="preserve">CONTEXTE DE L’APPEL </w:t>
      </w:r>
      <w:r w:rsidRPr="005950A0">
        <w:rPr>
          <w:rFonts w:cs="Times New Roman"/>
          <w:b/>
          <w:sz w:val="20"/>
          <w:szCs w:val="20"/>
        </w:rPr>
        <w:t>À</w:t>
      </w:r>
      <w:r w:rsidRPr="005950A0">
        <w:rPr>
          <w:b/>
          <w:sz w:val="20"/>
          <w:szCs w:val="20"/>
        </w:rPr>
        <w:t xml:space="preserve"> PROJETS</w:t>
      </w:r>
      <w:r w:rsidR="00742A20" w:rsidRPr="005950A0">
        <w:rPr>
          <w:b/>
          <w:sz w:val="20"/>
          <w:szCs w:val="20"/>
        </w:rPr>
        <w:t xml:space="preserve"> ET FINANCEMENT</w:t>
      </w:r>
    </w:p>
    <w:p w14:paraId="253E6114" w14:textId="47CA7CEC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La République française, représentée par la direction générale des étrangers en France (DGEF), s’est engagée à réinstaller</w:t>
      </w:r>
      <w:r w:rsidR="008D3964">
        <w:rPr>
          <w:rFonts w:ascii="Calibri" w:hAnsi="Calibri" w:cs="Calibri"/>
          <w:sz w:val="20"/>
          <w:szCs w:val="20"/>
        </w:rPr>
        <w:t> </w:t>
      </w:r>
      <w:r w:rsidR="008D3964">
        <w:rPr>
          <w:sz w:val="20"/>
          <w:szCs w:val="20"/>
        </w:rPr>
        <w:t>des personnes</w:t>
      </w:r>
      <w:r w:rsidRPr="005950A0">
        <w:rPr>
          <w:sz w:val="20"/>
          <w:szCs w:val="20"/>
        </w:rPr>
        <w:t xml:space="preserve"> réfugié</w:t>
      </w:r>
      <w:r w:rsidR="008D3964">
        <w:rPr>
          <w:sz w:val="20"/>
          <w:szCs w:val="20"/>
        </w:rPr>
        <w:t>e</w:t>
      </w:r>
      <w:r w:rsidRPr="005950A0">
        <w:rPr>
          <w:sz w:val="20"/>
          <w:szCs w:val="20"/>
        </w:rPr>
        <w:t>s depuis le</w:t>
      </w:r>
      <w:r w:rsidR="00966B6D" w:rsidRPr="005950A0">
        <w:rPr>
          <w:sz w:val="20"/>
          <w:szCs w:val="20"/>
        </w:rPr>
        <w:t xml:space="preserve"> Proche-Orient</w:t>
      </w:r>
      <w:r w:rsidR="00FD7272">
        <w:rPr>
          <w:sz w:val="20"/>
          <w:szCs w:val="20"/>
        </w:rPr>
        <w:t xml:space="preserve"> et </w:t>
      </w:r>
      <w:r w:rsidR="00966B6D" w:rsidRPr="005950A0">
        <w:rPr>
          <w:sz w:val="20"/>
          <w:szCs w:val="20"/>
        </w:rPr>
        <w:t>l’Afrique</w:t>
      </w:r>
      <w:r w:rsidR="00FD7272">
        <w:rPr>
          <w:sz w:val="20"/>
          <w:szCs w:val="20"/>
        </w:rPr>
        <w:t>.</w:t>
      </w:r>
      <w:r w:rsidRPr="005950A0">
        <w:rPr>
          <w:sz w:val="20"/>
          <w:szCs w:val="20"/>
        </w:rPr>
        <w:t xml:space="preserve"> </w:t>
      </w:r>
    </w:p>
    <w:p w14:paraId="7D79FC6D" w14:textId="076BEBB9" w:rsidR="0038700A" w:rsidRPr="005950A0" w:rsidRDefault="00E46D9F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Ainsi, l</w:t>
      </w:r>
      <w:r w:rsidR="0038700A" w:rsidRPr="005950A0">
        <w:rPr>
          <w:sz w:val="20"/>
          <w:szCs w:val="20"/>
        </w:rPr>
        <w:t>e présent appel à projets vise</w:t>
      </w:r>
      <w:r w:rsidR="00FD7272">
        <w:rPr>
          <w:sz w:val="20"/>
          <w:szCs w:val="20"/>
        </w:rPr>
        <w:t xml:space="preserve"> à identifier des opérateurs susceptibles d’</w:t>
      </w:r>
      <w:r w:rsidR="00FD7ACA" w:rsidRPr="005950A0">
        <w:rPr>
          <w:sz w:val="20"/>
          <w:szCs w:val="20"/>
        </w:rPr>
        <w:t>assurer l</w:t>
      </w:r>
      <w:r w:rsidR="00034789" w:rsidRPr="005950A0">
        <w:rPr>
          <w:sz w:val="20"/>
          <w:szCs w:val="20"/>
        </w:rPr>
        <w:t>’</w:t>
      </w:r>
      <w:r w:rsidR="00FD7ACA" w:rsidRPr="005950A0">
        <w:rPr>
          <w:sz w:val="20"/>
          <w:szCs w:val="20"/>
        </w:rPr>
        <w:t>accueil et l</w:t>
      </w:r>
      <w:r w:rsidR="00034789" w:rsidRPr="005950A0">
        <w:rPr>
          <w:sz w:val="20"/>
          <w:szCs w:val="20"/>
        </w:rPr>
        <w:t xml:space="preserve">’accompagnement </w:t>
      </w:r>
      <w:r w:rsidR="00FD7ACA" w:rsidRPr="005950A0">
        <w:rPr>
          <w:sz w:val="20"/>
          <w:szCs w:val="20"/>
        </w:rPr>
        <w:t xml:space="preserve">durant </w:t>
      </w:r>
      <w:r w:rsidR="00FD7272">
        <w:rPr>
          <w:sz w:val="20"/>
          <w:szCs w:val="20"/>
        </w:rPr>
        <w:t>douze mois</w:t>
      </w:r>
      <w:r w:rsidR="00FD7ACA" w:rsidRPr="005950A0">
        <w:rPr>
          <w:sz w:val="20"/>
          <w:szCs w:val="20"/>
        </w:rPr>
        <w:t xml:space="preserve"> </w:t>
      </w:r>
      <w:r w:rsidR="00034789" w:rsidRPr="005950A0">
        <w:rPr>
          <w:sz w:val="20"/>
          <w:szCs w:val="20"/>
        </w:rPr>
        <w:t xml:space="preserve">des personnes </w:t>
      </w:r>
      <w:r w:rsidR="00FD7272">
        <w:rPr>
          <w:sz w:val="20"/>
          <w:szCs w:val="20"/>
        </w:rPr>
        <w:t xml:space="preserve">bénéficiaires </w:t>
      </w:r>
      <w:r w:rsidR="008D3964">
        <w:rPr>
          <w:sz w:val="20"/>
          <w:szCs w:val="20"/>
        </w:rPr>
        <w:t>accueillies en France</w:t>
      </w:r>
      <w:r w:rsidRPr="005950A0">
        <w:rPr>
          <w:sz w:val="20"/>
          <w:szCs w:val="20"/>
        </w:rPr>
        <w:t xml:space="preserve"> </w:t>
      </w:r>
      <w:r w:rsidR="00FD7272">
        <w:rPr>
          <w:sz w:val="20"/>
          <w:szCs w:val="20"/>
        </w:rPr>
        <w:t>au titre de cet engagement</w:t>
      </w:r>
      <w:r w:rsidR="000B3694">
        <w:rPr>
          <w:sz w:val="20"/>
          <w:szCs w:val="20"/>
        </w:rPr>
        <w:t xml:space="preserve"> selon un objectif fixé annuellement, et décliné au niveau de chaque région.</w:t>
      </w:r>
    </w:p>
    <w:p w14:paraId="20DFE79F" w14:textId="617BD6C0" w:rsidR="00742A20" w:rsidRPr="005950A0" w:rsidRDefault="00742A20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 programme de réinstallation s’inscrit </w:t>
      </w:r>
      <w:r w:rsidR="00756A98">
        <w:rPr>
          <w:sz w:val="20"/>
          <w:szCs w:val="20"/>
        </w:rPr>
        <w:t xml:space="preserve">plus précisément </w:t>
      </w:r>
      <w:r w:rsidRPr="005950A0">
        <w:rPr>
          <w:sz w:val="20"/>
          <w:szCs w:val="20"/>
        </w:rPr>
        <w:t>dans le cadre de l’objectif spécifique «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sz w:val="20"/>
          <w:szCs w:val="20"/>
        </w:rPr>
        <w:t>Solidarité</w:t>
      </w:r>
      <w:r w:rsidRPr="005950A0">
        <w:rPr>
          <w:rFonts w:ascii="Calibri" w:hAnsi="Calibri" w:cs="Calibri"/>
          <w:sz w:val="20"/>
          <w:szCs w:val="20"/>
        </w:rPr>
        <w:t> »</w:t>
      </w:r>
      <w:r w:rsidRPr="005950A0">
        <w:rPr>
          <w:rFonts w:cs="Marianne"/>
          <w:sz w:val="20"/>
          <w:szCs w:val="20"/>
        </w:rPr>
        <w:t xml:space="preserve"> </w:t>
      </w:r>
      <w:r w:rsidRPr="005950A0">
        <w:rPr>
          <w:sz w:val="20"/>
          <w:szCs w:val="20"/>
        </w:rPr>
        <w:t>du règlement européen du Fonds «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sz w:val="20"/>
          <w:szCs w:val="20"/>
        </w:rPr>
        <w:t>Asile, migration et intégration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rFonts w:cs="Marianne"/>
          <w:sz w:val="20"/>
          <w:szCs w:val="20"/>
        </w:rPr>
        <w:t>» (FAMI)</w:t>
      </w:r>
      <w:r w:rsidRPr="005950A0">
        <w:rPr>
          <w:rStyle w:val="Appelnotedebasdep"/>
          <w:rFonts w:ascii="Calibri" w:hAnsi="Calibri" w:cs="Calibri"/>
          <w:sz w:val="20"/>
          <w:szCs w:val="20"/>
        </w:rPr>
        <w:t xml:space="preserve"> </w:t>
      </w:r>
      <w:r w:rsidRPr="005950A0">
        <w:rPr>
          <w:rStyle w:val="Appelnotedebasdep"/>
          <w:rFonts w:ascii="Calibri" w:hAnsi="Calibri" w:cs="Calibri"/>
          <w:sz w:val="20"/>
          <w:szCs w:val="20"/>
        </w:rPr>
        <w:footnoteReference w:id="1"/>
      </w:r>
      <w:r w:rsidRPr="005950A0">
        <w:rPr>
          <w:rFonts w:eastAsia="Times New Roman" w:cstheme="minorHAnsi"/>
          <w:bCs/>
          <w:color w:val="00000A"/>
          <w:sz w:val="20"/>
          <w:szCs w:val="20"/>
          <w:lang w:eastAsia="fr-FR"/>
        </w:rPr>
        <w:t xml:space="preserve"> et </w:t>
      </w:r>
      <w:r w:rsidRPr="005950A0">
        <w:rPr>
          <w:sz w:val="20"/>
          <w:szCs w:val="20"/>
        </w:rPr>
        <w:t>est intégralement financé par les crédits forfaitaires du FAMI. Pour l’accompagnement des personnes accueillies dans le cadre de ces programmes, l’administration contribue financièrement à ce service d'intérêt économique général sous forme de subvention con</w:t>
      </w:r>
      <w:r w:rsidR="0064251F">
        <w:rPr>
          <w:sz w:val="20"/>
          <w:szCs w:val="20"/>
        </w:rPr>
        <w:t>formément à la décision C(2011)</w:t>
      </w:r>
      <w:r w:rsidR="0064251F">
        <w:rPr>
          <w:rFonts w:ascii="Calibri" w:hAnsi="Calibri" w:cs="Calibri"/>
          <w:sz w:val="20"/>
          <w:szCs w:val="20"/>
        </w:rPr>
        <w:t> </w:t>
      </w:r>
      <w:r w:rsidRPr="005950A0">
        <w:rPr>
          <w:sz w:val="20"/>
          <w:szCs w:val="20"/>
        </w:rPr>
        <w:t xml:space="preserve">9380 de la Commission du 20 décembre 2011. </w:t>
      </w:r>
    </w:p>
    <w:p w14:paraId="74B6230D" w14:textId="3E0DBB15" w:rsidR="005950A0" w:rsidRPr="005950A0" w:rsidRDefault="007E69ED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Les projets seront ainsi financés par les crédits européens du FAMI, qui seront délégués sur </w:t>
      </w:r>
      <w:r w:rsidR="00BB0FB8">
        <w:rPr>
          <w:sz w:val="20"/>
          <w:szCs w:val="20"/>
        </w:rPr>
        <w:t>la base d</w:t>
      </w:r>
      <w:r w:rsidR="00CD094D">
        <w:rPr>
          <w:sz w:val="20"/>
          <w:szCs w:val="20"/>
        </w:rPr>
        <w:t>’un</w:t>
      </w:r>
      <w:r w:rsidR="00BB0FB8">
        <w:rPr>
          <w:sz w:val="20"/>
          <w:szCs w:val="20"/>
        </w:rPr>
        <w:t xml:space="preserve"> forfait de 7</w:t>
      </w:r>
      <w:r w:rsidR="00BB0FB8">
        <w:rPr>
          <w:rFonts w:ascii="Calibri" w:hAnsi="Calibri" w:cs="Calibri"/>
          <w:sz w:val="20"/>
          <w:szCs w:val="20"/>
        </w:rPr>
        <w:t> </w:t>
      </w:r>
      <w:r w:rsidR="00BB0FB8">
        <w:rPr>
          <w:sz w:val="20"/>
          <w:szCs w:val="20"/>
        </w:rPr>
        <w:t xml:space="preserve">000 EUR par personne prise en charge dans le dispositif. </w:t>
      </w:r>
      <w:r w:rsidRPr="005950A0">
        <w:rPr>
          <w:sz w:val="20"/>
          <w:szCs w:val="20"/>
        </w:rPr>
        <w:t>Aucun cofinancement n’est exigé.</w:t>
      </w:r>
    </w:p>
    <w:p w14:paraId="21FD9783" w14:textId="620CCA28" w:rsidR="00051C48" w:rsidRPr="005950A0" w:rsidRDefault="00051C48" w:rsidP="005950A0">
      <w:pPr>
        <w:shd w:val="clear" w:color="auto" w:fill="D5DCE4" w:themeFill="text2" w:themeFillTint="33"/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PR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>SENTATION DU PROGRAMME DE R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>INSTALLATION</w:t>
      </w:r>
    </w:p>
    <w:p w14:paraId="76BAE339" w14:textId="38E75EF3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La réinstallation consiste </w:t>
      </w:r>
      <w:r w:rsidR="00BA0A4C" w:rsidRPr="005950A0">
        <w:rPr>
          <w:sz w:val="20"/>
          <w:szCs w:val="20"/>
        </w:rPr>
        <w:t xml:space="preserve">à accueillir des réfugiés identifiés </w:t>
      </w:r>
      <w:r w:rsidR="0020527C" w:rsidRPr="005950A0">
        <w:rPr>
          <w:sz w:val="20"/>
          <w:szCs w:val="20"/>
        </w:rPr>
        <w:t xml:space="preserve">comme </w:t>
      </w:r>
      <w:r w:rsidR="00C20825" w:rsidRPr="005950A0">
        <w:rPr>
          <w:sz w:val="20"/>
          <w:szCs w:val="20"/>
        </w:rPr>
        <w:t xml:space="preserve">vulnérables et </w:t>
      </w:r>
      <w:r w:rsidR="0020527C" w:rsidRPr="005950A0">
        <w:rPr>
          <w:sz w:val="20"/>
          <w:szCs w:val="20"/>
        </w:rPr>
        <w:t xml:space="preserve">en besoin de protection </w:t>
      </w:r>
      <w:r w:rsidR="00BA0A4C" w:rsidRPr="005950A0">
        <w:rPr>
          <w:sz w:val="20"/>
          <w:szCs w:val="20"/>
        </w:rPr>
        <w:t>par</w:t>
      </w:r>
      <w:r w:rsidRPr="005950A0">
        <w:rPr>
          <w:sz w:val="20"/>
          <w:szCs w:val="20"/>
        </w:rPr>
        <w:t xml:space="preserve"> le Haut-</w:t>
      </w:r>
      <w:r w:rsidR="00E46D9F" w:rsidRPr="005950A0">
        <w:rPr>
          <w:sz w:val="20"/>
          <w:szCs w:val="20"/>
        </w:rPr>
        <w:t>C</w:t>
      </w:r>
      <w:r w:rsidRPr="005950A0">
        <w:rPr>
          <w:sz w:val="20"/>
          <w:szCs w:val="20"/>
        </w:rPr>
        <w:t xml:space="preserve">ommissariat </w:t>
      </w:r>
      <w:r w:rsidR="0020527C" w:rsidRPr="005950A0">
        <w:rPr>
          <w:sz w:val="20"/>
          <w:szCs w:val="20"/>
        </w:rPr>
        <w:t xml:space="preserve">pour les </w:t>
      </w:r>
      <w:r w:rsidRPr="005950A0">
        <w:rPr>
          <w:sz w:val="20"/>
          <w:szCs w:val="20"/>
        </w:rPr>
        <w:t xml:space="preserve">réfugiés </w:t>
      </w:r>
      <w:r w:rsidR="0020527C" w:rsidRPr="005950A0">
        <w:rPr>
          <w:sz w:val="20"/>
          <w:szCs w:val="20"/>
        </w:rPr>
        <w:t xml:space="preserve">des Nations-Unies </w:t>
      </w:r>
      <w:r w:rsidRPr="005950A0">
        <w:rPr>
          <w:sz w:val="20"/>
          <w:szCs w:val="20"/>
        </w:rPr>
        <w:t xml:space="preserve">(HCR) </w:t>
      </w:r>
      <w:r w:rsidR="00BA0A4C" w:rsidRPr="005950A0">
        <w:rPr>
          <w:sz w:val="20"/>
          <w:szCs w:val="20"/>
        </w:rPr>
        <w:t>dans des</w:t>
      </w:r>
      <w:r w:rsidRPr="005950A0">
        <w:rPr>
          <w:sz w:val="20"/>
          <w:szCs w:val="20"/>
        </w:rPr>
        <w:t xml:space="preserve"> pays de premier asile où ils ont </w:t>
      </w:r>
      <w:r w:rsidR="0020527C" w:rsidRPr="005950A0">
        <w:rPr>
          <w:sz w:val="20"/>
          <w:szCs w:val="20"/>
        </w:rPr>
        <w:t>trouvé refuge</w:t>
      </w:r>
      <w:r w:rsidRPr="005950A0">
        <w:rPr>
          <w:sz w:val="20"/>
          <w:szCs w:val="20"/>
        </w:rPr>
        <w:t xml:space="preserve"> mais </w:t>
      </w:r>
      <w:r w:rsidR="00BA0A4C" w:rsidRPr="005950A0">
        <w:rPr>
          <w:sz w:val="20"/>
          <w:szCs w:val="20"/>
        </w:rPr>
        <w:t xml:space="preserve">où ils </w:t>
      </w:r>
      <w:r w:rsidRPr="005950A0">
        <w:rPr>
          <w:sz w:val="20"/>
          <w:szCs w:val="20"/>
        </w:rPr>
        <w:t xml:space="preserve">ne peuvent rester de manière durable. La réinstallation des réfugiés est l’une des trois solutions durables prônées par le HCR pour les personnes en besoin de protection. </w:t>
      </w:r>
      <w:r w:rsidR="00BA0A4C" w:rsidRPr="005950A0">
        <w:rPr>
          <w:sz w:val="20"/>
          <w:szCs w:val="20"/>
        </w:rPr>
        <w:t xml:space="preserve">En effet, pour </w:t>
      </w:r>
      <w:r w:rsidRPr="005950A0">
        <w:rPr>
          <w:sz w:val="20"/>
          <w:szCs w:val="20"/>
        </w:rPr>
        <w:t>chaque réfugié</w:t>
      </w:r>
      <w:r w:rsidR="00BA0A4C" w:rsidRPr="005950A0">
        <w:rPr>
          <w:sz w:val="20"/>
          <w:szCs w:val="20"/>
        </w:rPr>
        <w:t>,</w:t>
      </w:r>
      <w:r w:rsidRPr="005950A0">
        <w:rPr>
          <w:sz w:val="20"/>
          <w:szCs w:val="20"/>
        </w:rPr>
        <w:t xml:space="preserve"> le HCR évalue d’abord si un retour volontaire vers le pays d’origine ou une intégration locale dans le pays de premier asile </w:t>
      </w:r>
      <w:r w:rsidRPr="005950A0">
        <w:rPr>
          <w:sz w:val="20"/>
          <w:szCs w:val="20"/>
        </w:rPr>
        <w:lastRenderedPageBreak/>
        <w:t xml:space="preserve">constituent </w:t>
      </w:r>
      <w:r w:rsidR="00BA0A4C" w:rsidRPr="005950A0">
        <w:rPr>
          <w:sz w:val="20"/>
          <w:szCs w:val="20"/>
        </w:rPr>
        <w:t xml:space="preserve">une </w:t>
      </w:r>
      <w:r w:rsidRPr="005950A0">
        <w:rPr>
          <w:sz w:val="20"/>
          <w:szCs w:val="20"/>
        </w:rPr>
        <w:t xml:space="preserve">meilleure option. Si ces options ne sont pas soutenables, le HCR envisage alors la réinstallation vers un </w:t>
      </w:r>
      <w:r w:rsidR="0020527C" w:rsidRPr="005950A0">
        <w:rPr>
          <w:sz w:val="20"/>
          <w:szCs w:val="20"/>
        </w:rPr>
        <w:t>autre</w:t>
      </w:r>
      <w:r w:rsidR="00FB47B6">
        <w:rPr>
          <w:sz w:val="20"/>
          <w:szCs w:val="20"/>
        </w:rPr>
        <w:t xml:space="preserve"> pays </w:t>
      </w:r>
      <w:r w:rsidR="0020527C" w:rsidRPr="005950A0">
        <w:rPr>
          <w:sz w:val="20"/>
          <w:szCs w:val="20"/>
        </w:rPr>
        <w:t>d’accueil</w:t>
      </w:r>
      <w:r w:rsidRPr="005950A0">
        <w:rPr>
          <w:sz w:val="20"/>
          <w:szCs w:val="20"/>
        </w:rPr>
        <w:t>.</w:t>
      </w:r>
    </w:p>
    <w:p w14:paraId="6BF10416" w14:textId="0C88D6AA" w:rsidR="00F23E3B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Dans le cadre de ces programmes, des missions de l’O</w:t>
      </w:r>
      <w:r w:rsidR="004105F5" w:rsidRPr="005950A0">
        <w:rPr>
          <w:sz w:val="20"/>
          <w:szCs w:val="20"/>
        </w:rPr>
        <w:t xml:space="preserve">ffice </w:t>
      </w:r>
      <w:r w:rsidR="0064251F">
        <w:rPr>
          <w:sz w:val="20"/>
          <w:szCs w:val="20"/>
        </w:rPr>
        <w:t>f</w:t>
      </w:r>
      <w:r w:rsidR="004105F5" w:rsidRPr="005950A0">
        <w:rPr>
          <w:sz w:val="20"/>
          <w:szCs w:val="20"/>
        </w:rPr>
        <w:t xml:space="preserve">rançais de </w:t>
      </w:r>
      <w:r w:rsidR="0064251F">
        <w:rPr>
          <w:sz w:val="20"/>
          <w:szCs w:val="20"/>
        </w:rPr>
        <w:t>p</w:t>
      </w:r>
      <w:r w:rsidR="004105F5" w:rsidRPr="005950A0">
        <w:rPr>
          <w:sz w:val="20"/>
          <w:szCs w:val="20"/>
        </w:rPr>
        <w:t xml:space="preserve">rotection des </w:t>
      </w:r>
      <w:r w:rsidR="0064251F">
        <w:rPr>
          <w:sz w:val="20"/>
          <w:szCs w:val="20"/>
        </w:rPr>
        <w:t>r</w:t>
      </w:r>
      <w:r w:rsidR="004105F5" w:rsidRPr="005950A0">
        <w:rPr>
          <w:sz w:val="20"/>
          <w:szCs w:val="20"/>
        </w:rPr>
        <w:t xml:space="preserve">éfugiés et </w:t>
      </w:r>
      <w:r w:rsidR="0064251F">
        <w:rPr>
          <w:sz w:val="20"/>
          <w:szCs w:val="20"/>
        </w:rPr>
        <w:t>a</w:t>
      </w:r>
      <w:r w:rsidR="004105F5" w:rsidRPr="005950A0">
        <w:rPr>
          <w:sz w:val="20"/>
          <w:szCs w:val="20"/>
        </w:rPr>
        <w:t xml:space="preserve">patrides </w:t>
      </w:r>
      <w:r w:rsidR="00C24C10" w:rsidRPr="005950A0">
        <w:rPr>
          <w:sz w:val="20"/>
          <w:szCs w:val="20"/>
        </w:rPr>
        <w:t xml:space="preserve">(OFPRA) </w:t>
      </w:r>
      <w:r w:rsidR="0020527C" w:rsidRPr="005950A0">
        <w:rPr>
          <w:sz w:val="20"/>
          <w:szCs w:val="20"/>
        </w:rPr>
        <w:t>et des services de sécurité du ministère de l’</w:t>
      </w:r>
      <w:r w:rsidR="00407F93">
        <w:rPr>
          <w:sz w:val="20"/>
          <w:szCs w:val="20"/>
        </w:rPr>
        <w:t>I</w:t>
      </w:r>
      <w:r w:rsidR="0020527C" w:rsidRPr="005950A0">
        <w:rPr>
          <w:sz w:val="20"/>
          <w:szCs w:val="20"/>
        </w:rPr>
        <w:t>ntérieur</w:t>
      </w:r>
      <w:r w:rsidR="00407F93">
        <w:rPr>
          <w:sz w:val="20"/>
          <w:szCs w:val="20"/>
        </w:rPr>
        <w:t xml:space="preserve"> et des Outre-mer</w:t>
      </w:r>
      <w:r w:rsidR="0020527C" w:rsidRPr="005950A0">
        <w:rPr>
          <w:sz w:val="20"/>
          <w:szCs w:val="20"/>
        </w:rPr>
        <w:t xml:space="preserve"> </w:t>
      </w:r>
      <w:r w:rsidRPr="005950A0">
        <w:rPr>
          <w:sz w:val="20"/>
          <w:szCs w:val="20"/>
        </w:rPr>
        <w:t xml:space="preserve">sont organisées dans les pays de premier asile pour sélectionner les personnes </w:t>
      </w:r>
      <w:r w:rsidR="00C24C10" w:rsidRPr="005950A0">
        <w:rPr>
          <w:sz w:val="20"/>
          <w:szCs w:val="20"/>
        </w:rPr>
        <w:t xml:space="preserve">en besoin de protection </w:t>
      </w:r>
      <w:r w:rsidRPr="005950A0">
        <w:rPr>
          <w:sz w:val="20"/>
          <w:szCs w:val="20"/>
        </w:rPr>
        <w:t xml:space="preserve">qui seront reconnues réfugiées ou protégées subsidiaires à leur arrivée en France. </w:t>
      </w:r>
      <w:r w:rsidR="00F23E3B" w:rsidRPr="005950A0">
        <w:rPr>
          <w:sz w:val="20"/>
          <w:szCs w:val="20"/>
        </w:rPr>
        <w:t xml:space="preserve">L’OFPRA reçoit en entretien </w:t>
      </w:r>
      <w:r w:rsidR="00C24C10" w:rsidRPr="005950A0">
        <w:rPr>
          <w:sz w:val="20"/>
          <w:szCs w:val="20"/>
        </w:rPr>
        <w:t xml:space="preserve">sur place </w:t>
      </w:r>
      <w:r w:rsidR="00F23E3B" w:rsidRPr="005950A0">
        <w:rPr>
          <w:sz w:val="20"/>
          <w:szCs w:val="20"/>
        </w:rPr>
        <w:t xml:space="preserve">les personnes identifiées par le HCR puis établit une liste de personnes retenues. </w:t>
      </w:r>
    </w:p>
    <w:p w14:paraId="37F96C6D" w14:textId="0E150683" w:rsidR="0038700A" w:rsidRPr="005950A0" w:rsidRDefault="00A609FE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Une fois les personnes sélectionnées, la </w:t>
      </w:r>
      <w:r w:rsidR="005950A0" w:rsidRPr="005950A0">
        <w:rPr>
          <w:sz w:val="20"/>
          <w:szCs w:val="20"/>
        </w:rPr>
        <w:t>d</w:t>
      </w:r>
      <w:r w:rsidR="00C24C10" w:rsidRPr="005950A0">
        <w:rPr>
          <w:sz w:val="20"/>
          <w:szCs w:val="20"/>
        </w:rPr>
        <w:t xml:space="preserve">irection </w:t>
      </w:r>
      <w:r w:rsidR="005950A0" w:rsidRPr="005950A0">
        <w:rPr>
          <w:sz w:val="20"/>
          <w:szCs w:val="20"/>
        </w:rPr>
        <w:t>g</w:t>
      </w:r>
      <w:r w:rsidR="00C24C10" w:rsidRPr="005950A0">
        <w:rPr>
          <w:sz w:val="20"/>
          <w:szCs w:val="20"/>
        </w:rPr>
        <w:t xml:space="preserve">énérale des </w:t>
      </w:r>
      <w:r w:rsidR="005950A0" w:rsidRPr="005950A0">
        <w:rPr>
          <w:sz w:val="20"/>
          <w:szCs w:val="20"/>
        </w:rPr>
        <w:t>é</w:t>
      </w:r>
      <w:r w:rsidR="00C24C10" w:rsidRPr="005950A0">
        <w:rPr>
          <w:sz w:val="20"/>
          <w:szCs w:val="20"/>
        </w:rPr>
        <w:t xml:space="preserve">trangers en </w:t>
      </w:r>
      <w:r w:rsidRPr="005950A0">
        <w:rPr>
          <w:sz w:val="20"/>
          <w:szCs w:val="20"/>
        </w:rPr>
        <w:t>F</w:t>
      </w:r>
      <w:r w:rsidR="00C24C10" w:rsidRPr="005950A0">
        <w:rPr>
          <w:sz w:val="20"/>
          <w:szCs w:val="20"/>
        </w:rPr>
        <w:t>rance</w:t>
      </w:r>
      <w:r w:rsidR="0038700A" w:rsidRPr="005950A0">
        <w:rPr>
          <w:sz w:val="20"/>
          <w:szCs w:val="20"/>
        </w:rPr>
        <w:t xml:space="preserve"> </w:t>
      </w:r>
      <w:r w:rsidR="00463CE8" w:rsidRPr="005950A0">
        <w:rPr>
          <w:sz w:val="20"/>
          <w:szCs w:val="20"/>
        </w:rPr>
        <w:t xml:space="preserve">(DGEF) </w:t>
      </w:r>
      <w:r w:rsidR="0038700A" w:rsidRPr="005950A0">
        <w:rPr>
          <w:sz w:val="20"/>
          <w:szCs w:val="20"/>
        </w:rPr>
        <w:t xml:space="preserve">organise leur arrivée en </w:t>
      </w:r>
      <w:r w:rsidRPr="005950A0">
        <w:rPr>
          <w:sz w:val="20"/>
          <w:szCs w:val="20"/>
        </w:rPr>
        <w:t xml:space="preserve">France, en lien avec </w:t>
      </w:r>
      <w:r w:rsidR="004105F5" w:rsidRPr="005950A0">
        <w:rPr>
          <w:sz w:val="20"/>
          <w:szCs w:val="20"/>
        </w:rPr>
        <w:t>l’Organisation internationale pour les migrations (OIM), en charge de l’organisation logistique des transferts</w:t>
      </w:r>
      <w:r w:rsidRPr="005950A0">
        <w:rPr>
          <w:sz w:val="20"/>
          <w:szCs w:val="20"/>
        </w:rPr>
        <w:t xml:space="preserve"> et </w:t>
      </w:r>
      <w:r w:rsidR="004105F5" w:rsidRPr="005950A0">
        <w:rPr>
          <w:sz w:val="20"/>
          <w:szCs w:val="20"/>
        </w:rPr>
        <w:t xml:space="preserve">le </w:t>
      </w:r>
      <w:r w:rsidRPr="005950A0">
        <w:rPr>
          <w:sz w:val="20"/>
          <w:szCs w:val="20"/>
        </w:rPr>
        <w:t>GIP</w:t>
      </w:r>
      <w:r w:rsidR="001867F1">
        <w:rPr>
          <w:sz w:val="20"/>
          <w:szCs w:val="20"/>
        </w:rPr>
        <w:t>-</w:t>
      </w:r>
      <w:r w:rsidRPr="005950A0">
        <w:rPr>
          <w:sz w:val="20"/>
          <w:szCs w:val="20"/>
        </w:rPr>
        <w:t>HIS</w:t>
      </w:r>
      <w:r w:rsidR="004105F5" w:rsidRPr="005950A0">
        <w:rPr>
          <w:sz w:val="20"/>
          <w:szCs w:val="20"/>
        </w:rPr>
        <w:t>, qui établit les calendriers d’arrivées.</w:t>
      </w:r>
      <w:r w:rsidR="0038700A" w:rsidRPr="005950A0">
        <w:rPr>
          <w:sz w:val="20"/>
          <w:szCs w:val="20"/>
        </w:rPr>
        <w:t xml:space="preserve"> </w:t>
      </w:r>
      <w:r w:rsidRPr="005950A0">
        <w:rPr>
          <w:sz w:val="20"/>
          <w:szCs w:val="20"/>
        </w:rPr>
        <w:t xml:space="preserve">La </w:t>
      </w:r>
      <w:r w:rsidR="0038700A" w:rsidRPr="005950A0">
        <w:rPr>
          <w:sz w:val="20"/>
          <w:szCs w:val="20"/>
        </w:rPr>
        <w:t>prise en charge</w:t>
      </w:r>
      <w:r w:rsidRPr="005950A0">
        <w:rPr>
          <w:sz w:val="20"/>
          <w:szCs w:val="20"/>
        </w:rPr>
        <w:t xml:space="preserve"> des réfugiés réinstallés à leur arrivée en France</w:t>
      </w:r>
      <w:r w:rsidR="0038700A" w:rsidRPr="005950A0">
        <w:rPr>
          <w:sz w:val="20"/>
          <w:szCs w:val="20"/>
        </w:rPr>
        <w:t xml:space="preserve"> est assurée par un opérateur qui organise l’accès au logement et un accompagnement global pendant 12 mois. Dès leur arrivée</w:t>
      </w:r>
      <w:r w:rsidRPr="005950A0">
        <w:rPr>
          <w:sz w:val="20"/>
          <w:szCs w:val="20"/>
        </w:rPr>
        <w:t>, toute</w:t>
      </w:r>
      <w:r w:rsidR="00463CE8" w:rsidRPr="005950A0">
        <w:rPr>
          <w:sz w:val="20"/>
          <w:szCs w:val="20"/>
        </w:rPr>
        <w:t>s</w:t>
      </w:r>
      <w:r w:rsidR="005C6637" w:rsidRPr="005950A0">
        <w:rPr>
          <w:sz w:val="20"/>
          <w:szCs w:val="20"/>
        </w:rPr>
        <w:t xml:space="preserve"> ces personnes</w:t>
      </w:r>
      <w:r w:rsidR="0038700A" w:rsidRPr="005950A0">
        <w:rPr>
          <w:sz w:val="20"/>
          <w:szCs w:val="20"/>
        </w:rPr>
        <w:t xml:space="preserve"> sont </w:t>
      </w:r>
      <w:r w:rsidR="00463CE8" w:rsidRPr="005950A0">
        <w:rPr>
          <w:sz w:val="20"/>
          <w:szCs w:val="20"/>
        </w:rPr>
        <w:t xml:space="preserve">immédiatement </w:t>
      </w:r>
      <w:r w:rsidR="0038700A" w:rsidRPr="005950A0">
        <w:rPr>
          <w:sz w:val="20"/>
          <w:szCs w:val="20"/>
        </w:rPr>
        <w:t>bénéficiaires de la protection internationale</w:t>
      </w:r>
      <w:r w:rsidR="005C6637" w:rsidRPr="005950A0">
        <w:rPr>
          <w:sz w:val="20"/>
          <w:szCs w:val="20"/>
        </w:rPr>
        <w:t xml:space="preserve">. </w:t>
      </w:r>
      <w:r w:rsidR="00C24C10" w:rsidRPr="005950A0">
        <w:rPr>
          <w:sz w:val="20"/>
          <w:szCs w:val="20"/>
        </w:rPr>
        <w:t xml:space="preserve">L’OFPRA leur remet ainsi </w:t>
      </w:r>
      <w:r w:rsidR="00463CE8" w:rsidRPr="005950A0">
        <w:rPr>
          <w:sz w:val="20"/>
          <w:szCs w:val="20"/>
        </w:rPr>
        <w:t xml:space="preserve">la </w:t>
      </w:r>
      <w:r w:rsidR="00C24C10" w:rsidRPr="005950A0">
        <w:rPr>
          <w:sz w:val="20"/>
          <w:szCs w:val="20"/>
        </w:rPr>
        <w:t>décision de protection, sans qu’il y ait besoin de passer par un guichet unique pour demandeurs d’asile.</w:t>
      </w:r>
    </w:p>
    <w:p w14:paraId="00B4CA2E" w14:textId="365B4FD4" w:rsidR="005950A0" w:rsidRPr="005950A0" w:rsidRDefault="00E47BAD" w:rsidP="005950A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La France compte parmi les principaux pays de réinstallation en Europe, aux côtés de la Suède, de la Norvège et de l’Allemagne.</w:t>
      </w:r>
      <w:r w:rsidR="0038700A" w:rsidRPr="005950A0">
        <w:rPr>
          <w:sz w:val="20"/>
          <w:szCs w:val="20"/>
        </w:rPr>
        <w:t xml:space="preserve"> </w:t>
      </w:r>
    </w:p>
    <w:p w14:paraId="7283390B" w14:textId="4E9A246D" w:rsidR="0038700A" w:rsidRPr="005950A0" w:rsidRDefault="000B3694" w:rsidP="005950A0">
      <w:pPr>
        <w:shd w:val="clear" w:color="auto" w:fill="D5DCE4" w:themeFill="text2" w:themeFillTint="33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MISSIONS</w:t>
      </w:r>
    </w:p>
    <w:p w14:paraId="674B0AE6" w14:textId="7DE93CB3" w:rsidR="005651BC" w:rsidRPr="005B2A6A" w:rsidRDefault="00756A98" w:rsidP="005950A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Pr="00756A98">
        <w:rPr>
          <w:sz w:val="20"/>
          <w:szCs w:val="20"/>
        </w:rPr>
        <w:t xml:space="preserve">a région </w:t>
      </w:r>
      <w:r w:rsidR="006C47FC">
        <w:rPr>
          <w:sz w:val="20"/>
          <w:szCs w:val="20"/>
        </w:rPr>
        <w:t>BFC</w:t>
      </w:r>
      <w:r w:rsidRPr="00756A98">
        <w:rPr>
          <w:sz w:val="20"/>
          <w:szCs w:val="20"/>
        </w:rPr>
        <w:t xml:space="preserve"> </w:t>
      </w:r>
      <w:r>
        <w:rPr>
          <w:sz w:val="20"/>
          <w:szCs w:val="20"/>
        </w:rPr>
        <w:t>se voit attribuer annuellement un certain nombre de des</w:t>
      </w:r>
      <w:r w:rsidRPr="00756A98">
        <w:rPr>
          <w:sz w:val="20"/>
          <w:szCs w:val="20"/>
        </w:rPr>
        <w:t xml:space="preserve"> réfugiés réinstallés</w:t>
      </w:r>
      <w:r>
        <w:rPr>
          <w:sz w:val="20"/>
          <w:szCs w:val="20"/>
        </w:rPr>
        <w:t xml:space="preserve"> qui sont ensuite hébergé</w:t>
      </w:r>
      <w:r w:rsidR="007C4750">
        <w:rPr>
          <w:sz w:val="20"/>
          <w:szCs w:val="20"/>
        </w:rPr>
        <w:t>s</w:t>
      </w:r>
      <w:r>
        <w:rPr>
          <w:sz w:val="20"/>
          <w:szCs w:val="20"/>
        </w:rPr>
        <w:t xml:space="preserve"> et bénéficie</w:t>
      </w:r>
      <w:r w:rsidR="007C4750">
        <w:rPr>
          <w:sz w:val="20"/>
          <w:szCs w:val="20"/>
        </w:rPr>
        <w:t>nt</w:t>
      </w:r>
      <w:r>
        <w:rPr>
          <w:sz w:val="20"/>
          <w:szCs w:val="20"/>
        </w:rPr>
        <w:t xml:space="preserve"> d’un accompagnement social et juridique pendant une année</w:t>
      </w:r>
      <w:r w:rsidRPr="00756A98">
        <w:rPr>
          <w:sz w:val="20"/>
          <w:szCs w:val="20"/>
        </w:rPr>
        <w:t xml:space="preserve">. </w:t>
      </w:r>
      <w:r w:rsidR="005651BC" w:rsidRPr="005B2A6A">
        <w:rPr>
          <w:sz w:val="20"/>
          <w:szCs w:val="20"/>
        </w:rPr>
        <w:t>Dans le cadre du programme, les missions confiées aux porteurs de projets sont les suivantes</w:t>
      </w:r>
      <w:r w:rsidR="005651BC" w:rsidRPr="005B2A6A">
        <w:rPr>
          <w:rFonts w:ascii="Calibri" w:hAnsi="Calibri" w:cs="Calibri"/>
          <w:sz w:val="20"/>
          <w:szCs w:val="20"/>
        </w:rPr>
        <w:t> </w:t>
      </w:r>
      <w:r w:rsidR="005651BC" w:rsidRPr="005B2A6A">
        <w:rPr>
          <w:sz w:val="20"/>
          <w:szCs w:val="20"/>
        </w:rPr>
        <w:t>:</w:t>
      </w:r>
    </w:p>
    <w:p w14:paraId="44EE0CCB" w14:textId="551E9CC1" w:rsidR="005651BC" w:rsidRPr="005950A0" w:rsidRDefault="005651BC" w:rsidP="005950A0">
      <w:pPr>
        <w:pStyle w:val="Standard"/>
        <w:numPr>
          <w:ilvl w:val="0"/>
          <w:numId w:val="15"/>
        </w:numPr>
        <w:spacing w:after="0" w:line="276" w:lineRule="auto"/>
        <w:jc w:val="both"/>
        <w:rPr>
          <w:rFonts w:ascii="Marianne" w:hAnsi="Marianne" w:cs="Times New Roman"/>
          <w:sz w:val="20"/>
          <w:szCs w:val="20"/>
        </w:rPr>
      </w:pPr>
      <w:r w:rsidRPr="005950A0">
        <w:rPr>
          <w:rFonts w:ascii="Marianne" w:hAnsi="Marianne" w:cs="Times New Roman"/>
          <w:sz w:val="20"/>
          <w:szCs w:val="20"/>
        </w:rPr>
        <w:t>Mobilisation de logements pérennes et accompagnement global</w:t>
      </w:r>
      <w:r w:rsidR="001867F1">
        <w:rPr>
          <w:rFonts w:ascii="Marianne" w:hAnsi="Marianne" w:cs="Times New Roman"/>
          <w:sz w:val="20"/>
          <w:szCs w:val="20"/>
        </w:rPr>
        <w:t xml:space="preserve"> vers l’autonomie</w:t>
      </w:r>
      <w:r w:rsidRPr="005950A0">
        <w:rPr>
          <w:rFonts w:cs="Calibri"/>
          <w:sz w:val="20"/>
          <w:szCs w:val="20"/>
        </w:rPr>
        <w:t> </w:t>
      </w:r>
      <w:r w:rsidRPr="005950A0">
        <w:rPr>
          <w:rFonts w:ascii="Marianne" w:hAnsi="Marianne" w:cs="Times New Roman"/>
          <w:sz w:val="20"/>
          <w:szCs w:val="20"/>
        </w:rPr>
        <w:t>;</w:t>
      </w:r>
    </w:p>
    <w:p w14:paraId="7B6DAF85" w14:textId="77777777" w:rsidR="005651BC" w:rsidRPr="005950A0" w:rsidRDefault="005651BC" w:rsidP="005950A0">
      <w:pPr>
        <w:pStyle w:val="Paragraphedeliste"/>
        <w:numPr>
          <w:ilvl w:val="0"/>
          <w:numId w:val="15"/>
        </w:numPr>
        <w:spacing w:line="276" w:lineRule="auto"/>
        <w:jc w:val="left"/>
        <w:rPr>
          <w:rFonts w:cs="Times New Roman"/>
          <w:sz w:val="20"/>
          <w:szCs w:val="20"/>
        </w:rPr>
      </w:pPr>
      <w:r w:rsidRPr="005950A0">
        <w:rPr>
          <w:rFonts w:cs="Times New Roman"/>
          <w:sz w:val="20"/>
          <w:szCs w:val="20"/>
        </w:rPr>
        <w:t>L’accompagnement administratif et l’accès aux droits sociaux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rFonts w:cs="Times New Roman"/>
          <w:sz w:val="20"/>
          <w:szCs w:val="20"/>
        </w:rPr>
        <w:t>;</w:t>
      </w:r>
    </w:p>
    <w:p w14:paraId="39F3711C" w14:textId="77777777" w:rsidR="005651BC" w:rsidRPr="005950A0" w:rsidRDefault="005651BC" w:rsidP="005950A0">
      <w:pPr>
        <w:pStyle w:val="Paragraphedeliste"/>
        <w:numPr>
          <w:ilvl w:val="0"/>
          <w:numId w:val="15"/>
        </w:numPr>
        <w:spacing w:line="276" w:lineRule="auto"/>
        <w:jc w:val="left"/>
        <w:rPr>
          <w:rFonts w:cs="Times New Roman"/>
          <w:sz w:val="20"/>
          <w:szCs w:val="20"/>
        </w:rPr>
      </w:pPr>
      <w:r w:rsidRPr="005950A0">
        <w:rPr>
          <w:rFonts w:cs="Times New Roman"/>
          <w:sz w:val="20"/>
          <w:szCs w:val="20"/>
        </w:rPr>
        <w:t>L’accompagnement vers la formation linguistique, la formation professionnelle et  l’emploi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rFonts w:cs="Times New Roman"/>
          <w:sz w:val="20"/>
          <w:szCs w:val="20"/>
        </w:rPr>
        <w:t>;</w:t>
      </w:r>
    </w:p>
    <w:p w14:paraId="4B47194F" w14:textId="77777777" w:rsidR="005651BC" w:rsidRPr="005950A0" w:rsidRDefault="005651BC" w:rsidP="005950A0">
      <w:pPr>
        <w:pStyle w:val="Paragraphedeliste"/>
        <w:numPr>
          <w:ilvl w:val="0"/>
          <w:numId w:val="15"/>
        </w:numPr>
        <w:spacing w:line="276" w:lineRule="auto"/>
        <w:jc w:val="left"/>
        <w:rPr>
          <w:rFonts w:cs="Times New Roman"/>
          <w:sz w:val="20"/>
          <w:szCs w:val="20"/>
        </w:rPr>
      </w:pPr>
      <w:r w:rsidRPr="005950A0">
        <w:rPr>
          <w:rFonts w:eastAsia="Arial Unicode MS" w:cs="Times New Roman"/>
          <w:color w:val="000000" w:themeColor="text1"/>
          <w:kern w:val="3"/>
          <w:sz w:val="20"/>
          <w:szCs w:val="20"/>
        </w:rPr>
        <w:t>La scolarité ou la reprise d’études supérieures</w:t>
      </w:r>
      <w:r w:rsidRPr="005950A0">
        <w:rPr>
          <w:rFonts w:ascii="Calibri" w:eastAsia="Arial Unicode MS" w:hAnsi="Calibri" w:cs="Calibri"/>
          <w:color w:val="000000" w:themeColor="text1"/>
          <w:kern w:val="3"/>
          <w:sz w:val="20"/>
          <w:szCs w:val="20"/>
        </w:rPr>
        <w:t> </w:t>
      </w:r>
      <w:r w:rsidRPr="005950A0">
        <w:rPr>
          <w:rFonts w:eastAsia="Arial Unicode MS" w:cs="Times New Roman"/>
          <w:color w:val="000000" w:themeColor="text1"/>
          <w:kern w:val="3"/>
          <w:sz w:val="20"/>
          <w:szCs w:val="20"/>
        </w:rPr>
        <w:t>;</w:t>
      </w:r>
    </w:p>
    <w:p w14:paraId="01A2D940" w14:textId="77777777" w:rsidR="005651BC" w:rsidRPr="005950A0" w:rsidRDefault="005651BC" w:rsidP="005950A0">
      <w:pPr>
        <w:pStyle w:val="Paragraphedeliste"/>
        <w:numPr>
          <w:ilvl w:val="0"/>
          <w:numId w:val="15"/>
        </w:numPr>
        <w:spacing w:line="276" w:lineRule="auto"/>
        <w:jc w:val="left"/>
        <w:rPr>
          <w:rFonts w:cs="Times New Roman"/>
          <w:sz w:val="20"/>
          <w:szCs w:val="20"/>
        </w:rPr>
      </w:pPr>
      <w:r w:rsidRPr="005950A0">
        <w:rPr>
          <w:rFonts w:eastAsia="Arial Unicode MS" w:cs="Times New Roman"/>
          <w:color w:val="000000" w:themeColor="text1"/>
          <w:kern w:val="3"/>
          <w:sz w:val="20"/>
          <w:szCs w:val="20"/>
        </w:rPr>
        <w:t>Le soutien à la parentalité</w:t>
      </w:r>
      <w:r w:rsidRPr="005950A0">
        <w:rPr>
          <w:rFonts w:ascii="Calibri" w:eastAsia="Arial Unicode MS" w:hAnsi="Calibri" w:cs="Calibri"/>
          <w:color w:val="000000" w:themeColor="text1"/>
          <w:kern w:val="3"/>
          <w:sz w:val="20"/>
          <w:szCs w:val="20"/>
        </w:rPr>
        <w:t> </w:t>
      </w:r>
      <w:r w:rsidRPr="005950A0">
        <w:rPr>
          <w:rFonts w:eastAsia="Arial Unicode MS" w:cs="Times New Roman"/>
          <w:color w:val="000000" w:themeColor="text1"/>
          <w:kern w:val="3"/>
          <w:sz w:val="20"/>
          <w:szCs w:val="20"/>
        </w:rPr>
        <w:t>;</w:t>
      </w:r>
    </w:p>
    <w:p w14:paraId="5F750ECA" w14:textId="77777777" w:rsidR="005651BC" w:rsidRDefault="005651BC" w:rsidP="005950A0">
      <w:pPr>
        <w:pStyle w:val="Paragraphedeliste"/>
        <w:numPr>
          <w:ilvl w:val="0"/>
          <w:numId w:val="15"/>
        </w:numPr>
        <w:spacing w:line="276" w:lineRule="auto"/>
        <w:jc w:val="left"/>
        <w:rPr>
          <w:rFonts w:cs="Times New Roman"/>
          <w:sz w:val="20"/>
          <w:szCs w:val="20"/>
        </w:rPr>
      </w:pPr>
      <w:r w:rsidRPr="005950A0">
        <w:rPr>
          <w:rFonts w:cs="Times New Roman"/>
          <w:sz w:val="20"/>
          <w:szCs w:val="20"/>
        </w:rPr>
        <w:t>L’animation socio-culturelle.</w:t>
      </w:r>
    </w:p>
    <w:p w14:paraId="2C38B816" w14:textId="77777777" w:rsidR="005950A0" w:rsidRPr="005950A0" w:rsidRDefault="005950A0" w:rsidP="005950A0">
      <w:pPr>
        <w:pStyle w:val="Paragraphedeliste"/>
        <w:spacing w:line="276" w:lineRule="auto"/>
        <w:jc w:val="left"/>
        <w:rPr>
          <w:rFonts w:cs="Times New Roman"/>
          <w:sz w:val="20"/>
          <w:szCs w:val="20"/>
        </w:rPr>
      </w:pPr>
    </w:p>
    <w:p w14:paraId="692DF30E" w14:textId="3E63724C" w:rsidR="0038700A" w:rsidRPr="005950A0" w:rsidRDefault="005208FB" w:rsidP="005950A0">
      <w:pPr>
        <w:shd w:val="clear" w:color="auto" w:fill="D5DCE4" w:themeFill="text2" w:themeFillTint="33"/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CRIT</w:t>
      </w:r>
      <w:r w:rsidR="005950A0">
        <w:rPr>
          <w:b/>
          <w:sz w:val="20"/>
          <w:szCs w:val="20"/>
        </w:rPr>
        <w:t>È</w:t>
      </w:r>
      <w:r w:rsidRPr="005950A0">
        <w:rPr>
          <w:b/>
          <w:sz w:val="20"/>
          <w:szCs w:val="20"/>
        </w:rPr>
        <w:t>RES D’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>LIGIBILIT</w:t>
      </w:r>
      <w:r w:rsidR="00C43500"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 xml:space="preserve"> DES PROJETS</w:t>
      </w:r>
    </w:p>
    <w:p w14:paraId="22D2417F" w14:textId="62B99BA2" w:rsidR="0038700A" w:rsidRPr="005950A0" w:rsidRDefault="0038700A" w:rsidP="005950A0">
      <w:pPr>
        <w:pStyle w:val="Paragraphedeliste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Organismes pouvant candidater</w:t>
      </w:r>
    </w:p>
    <w:p w14:paraId="1DBC981A" w14:textId="6723DD35" w:rsidR="0088167D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Les organismes publics ou privés, notamment les associations régies par la loi de 1901, peuvent candidater au présent appel à projets.</w:t>
      </w:r>
    </w:p>
    <w:p w14:paraId="3C42C7EA" w14:textId="6723DD35" w:rsidR="0038700A" w:rsidRPr="005950A0" w:rsidRDefault="0088167D" w:rsidP="005950A0">
      <w:pPr>
        <w:pStyle w:val="Paragraphedeliste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Public ciblé par le présent AAP</w:t>
      </w:r>
    </w:p>
    <w:p w14:paraId="68FC29DB" w14:textId="7526BDC1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Les </w:t>
      </w:r>
      <w:r w:rsidR="00F23E3B" w:rsidRPr="005950A0">
        <w:rPr>
          <w:sz w:val="20"/>
          <w:szCs w:val="20"/>
        </w:rPr>
        <w:t xml:space="preserve">bénéficiaires </w:t>
      </w:r>
      <w:r w:rsidRPr="005950A0">
        <w:rPr>
          <w:sz w:val="20"/>
          <w:szCs w:val="20"/>
        </w:rPr>
        <w:t xml:space="preserve">de ces actions sont les </w:t>
      </w:r>
      <w:r w:rsidR="00F23E3B" w:rsidRPr="005950A0">
        <w:rPr>
          <w:sz w:val="20"/>
          <w:szCs w:val="20"/>
        </w:rPr>
        <w:t xml:space="preserve">personnes réinstallées reconnues </w:t>
      </w:r>
      <w:r w:rsidRPr="005950A0">
        <w:rPr>
          <w:sz w:val="20"/>
          <w:szCs w:val="20"/>
        </w:rPr>
        <w:t xml:space="preserve">réfugiés statutaires </w:t>
      </w:r>
      <w:r w:rsidR="00F23E3B" w:rsidRPr="005950A0">
        <w:rPr>
          <w:sz w:val="20"/>
          <w:szCs w:val="20"/>
        </w:rPr>
        <w:t>ou protégées subsidiaires</w:t>
      </w:r>
      <w:r w:rsidRPr="005950A0">
        <w:rPr>
          <w:sz w:val="20"/>
          <w:szCs w:val="20"/>
        </w:rPr>
        <w:t xml:space="preserve">. </w:t>
      </w:r>
      <w:r w:rsidR="00F23E3B" w:rsidRPr="005950A0">
        <w:rPr>
          <w:sz w:val="20"/>
          <w:szCs w:val="20"/>
        </w:rPr>
        <w:t xml:space="preserve">Avec ce titre, elles acquièrent un statut (soit de réfugié, soit de </w:t>
      </w:r>
      <w:r w:rsidR="00F23E3B" w:rsidRPr="005950A0">
        <w:rPr>
          <w:sz w:val="20"/>
          <w:szCs w:val="20"/>
        </w:rPr>
        <w:lastRenderedPageBreak/>
        <w:t>protection subsidiaire) qui leur donne directement accès au droit commun (droits sociaux, accès à l’emploi).</w:t>
      </w:r>
    </w:p>
    <w:p w14:paraId="2CDEAC33" w14:textId="77777777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Ne relèvent pas de cet appel à projets les bénéficiaires de la protection internationale pris en charge à un autre titre que le programme de réinstallation susvisé, à savoir :</w:t>
      </w:r>
    </w:p>
    <w:p w14:paraId="7580DABE" w14:textId="0561057F" w:rsidR="0038700A" w:rsidRPr="005950A0" w:rsidRDefault="0038700A" w:rsidP="005950A0">
      <w:pPr>
        <w:pStyle w:val="Paragraphedeliste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Les personnes qui ont obtenu le statut de réfugié ou de protégé subsidiaire selon la procédure de demande d’asile ordinaire ; </w:t>
      </w:r>
    </w:p>
    <w:p w14:paraId="6B54B065" w14:textId="5354B938" w:rsidR="0038700A" w:rsidRPr="005950A0" w:rsidRDefault="0038700A" w:rsidP="005950A0">
      <w:pPr>
        <w:pStyle w:val="Paragraphedeliste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Les personnes </w:t>
      </w:r>
      <w:r w:rsidR="00F23E3B" w:rsidRPr="005950A0">
        <w:rPr>
          <w:sz w:val="20"/>
          <w:szCs w:val="20"/>
        </w:rPr>
        <w:t>pla</w:t>
      </w:r>
      <w:r w:rsidR="0064251F">
        <w:rPr>
          <w:sz w:val="20"/>
          <w:szCs w:val="20"/>
        </w:rPr>
        <w:t xml:space="preserve">cées sous mandat strict du HCR </w:t>
      </w:r>
      <w:r w:rsidR="00F23E3B" w:rsidRPr="005950A0">
        <w:rPr>
          <w:sz w:val="20"/>
          <w:szCs w:val="20"/>
        </w:rPr>
        <w:t xml:space="preserve">et </w:t>
      </w:r>
      <w:r w:rsidRPr="005950A0">
        <w:rPr>
          <w:sz w:val="20"/>
          <w:szCs w:val="20"/>
        </w:rPr>
        <w:t xml:space="preserve">accueillies par la voie de la réinstallation à travers l’accord-cadre signé le 4 février 2008 </w:t>
      </w:r>
      <w:r w:rsidR="00F23E3B" w:rsidRPr="005950A0">
        <w:rPr>
          <w:sz w:val="20"/>
          <w:szCs w:val="20"/>
        </w:rPr>
        <w:t xml:space="preserve">entre la France et </w:t>
      </w:r>
      <w:r w:rsidRPr="005950A0">
        <w:rPr>
          <w:sz w:val="20"/>
          <w:szCs w:val="20"/>
        </w:rPr>
        <w:t>le HCR</w:t>
      </w:r>
      <w:r w:rsidR="00F23E3B" w:rsidRPr="005950A0">
        <w:rPr>
          <w:sz w:val="20"/>
          <w:szCs w:val="20"/>
        </w:rPr>
        <w:t>, pour lesquelles une</w:t>
      </w:r>
      <w:r w:rsidRPr="005950A0">
        <w:rPr>
          <w:sz w:val="20"/>
          <w:szCs w:val="20"/>
        </w:rPr>
        <w:t xml:space="preserve"> autre procédure </w:t>
      </w:r>
      <w:r w:rsidR="00F23E3B" w:rsidRPr="005950A0">
        <w:rPr>
          <w:sz w:val="20"/>
          <w:szCs w:val="20"/>
        </w:rPr>
        <w:t xml:space="preserve">d’accueil </w:t>
      </w:r>
      <w:r w:rsidRPr="005950A0">
        <w:rPr>
          <w:sz w:val="20"/>
          <w:szCs w:val="20"/>
        </w:rPr>
        <w:t>et un</w:t>
      </w:r>
      <w:r w:rsidR="00F23E3B" w:rsidRPr="005950A0">
        <w:rPr>
          <w:sz w:val="20"/>
          <w:szCs w:val="20"/>
        </w:rPr>
        <w:t xml:space="preserve"> autre</w:t>
      </w:r>
      <w:r w:rsidR="0064251F">
        <w:rPr>
          <w:sz w:val="20"/>
          <w:szCs w:val="20"/>
        </w:rPr>
        <w:t xml:space="preserve"> financement sont appliqués</w:t>
      </w:r>
      <w:r w:rsidR="0064251F">
        <w:rPr>
          <w:rFonts w:ascii="Calibri" w:hAnsi="Calibri" w:cs="Calibri"/>
          <w:sz w:val="20"/>
          <w:szCs w:val="20"/>
        </w:rPr>
        <w:t> </w:t>
      </w:r>
      <w:r w:rsidR="0064251F">
        <w:rPr>
          <w:sz w:val="20"/>
          <w:szCs w:val="20"/>
        </w:rPr>
        <w:t>;</w:t>
      </w:r>
    </w:p>
    <w:p w14:paraId="2AFFF8D2" w14:textId="4F070BDF" w:rsidR="0038700A" w:rsidRPr="005950A0" w:rsidRDefault="0038700A" w:rsidP="005950A0">
      <w:pPr>
        <w:pStyle w:val="Paragraphedeliste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Les personnes arrivées en France par d’autres voies légales d’accès (relocalisation, visas </w:t>
      </w:r>
      <w:r w:rsidR="00F23E3B" w:rsidRPr="005950A0">
        <w:rPr>
          <w:sz w:val="20"/>
          <w:szCs w:val="20"/>
        </w:rPr>
        <w:t xml:space="preserve">pour </w:t>
      </w:r>
      <w:r w:rsidR="005208FB" w:rsidRPr="005950A0">
        <w:rPr>
          <w:sz w:val="20"/>
          <w:szCs w:val="20"/>
        </w:rPr>
        <w:t>asile, couloirs humanitaires…).</w:t>
      </w:r>
    </w:p>
    <w:p w14:paraId="5C5F43D9" w14:textId="77777777" w:rsidR="005208FB" w:rsidRPr="005950A0" w:rsidRDefault="005208FB" w:rsidP="005950A0">
      <w:pPr>
        <w:pStyle w:val="Paragraphedeliste"/>
        <w:spacing w:line="276" w:lineRule="auto"/>
        <w:rPr>
          <w:sz w:val="20"/>
          <w:szCs w:val="20"/>
        </w:rPr>
      </w:pPr>
    </w:p>
    <w:p w14:paraId="0AC56A73" w14:textId="4DBAD3DE" w:rsidR="0038700A" w:rsidRPr="005950A0" w:rsidRDefault="0038700A" w:rsidP="005950A0">
      <w:pPr>
        <w:pStyle w:val="Paragraphedeliste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 xml:space="preserve">Périmètre </w:t>
      </w:r>
      <w:r w:rsidR="005208FB" w:rsidRPr="005950A0">
        <w:rPr>
          <w:b/>
          <w:sz w:val="20"/>
          <w:szCs w:val="20"/>
        </w:rPr>
        <w:t xml:space="preserve">géographique </w:t>
      </w:r>
      <w:r w:rsidRPr="005950A0">
        <w:rPr>
          <w:b/>
          <w:sz w:val="20"/>
          <w:szCs w:val="20"/>
        </w:rPr>
        <w:t xml:space="preserve">du projet </w:t>
      </w:r>
    </w:p>
    <w:p w14:paraId="529182EF" w14:textId="77777777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 présent appel à projets concerne les actions d’envergure régionale ou départementale. L’examen des dossiers se fera par les services déconcentrés. </w:t>
      </w:r>
    </w:p>
    <w:p w14:paraId="3358FDC4" w14:textId="1046EACB" w:rsidR="0038700A" w:rsidRPr="005950A0" w:rsidRDefault="00A70DBC" w:rsidP="005950A0">
      <w:pPr>
        <w:pStyle w:val="Paragraphedeliste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Modalités de prise en charge du public</w:t>
      </w:r>
    </w:p>
    <w:p w14:paraId="780C141A" w14:textId="6AB95319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 candidat devra </w:t>
      </w:r>
      <w:r w:rsidR="00F23E3B" w:rsidRPr="005950A0">
        <w:rPr>
          <w:sz w:val="20"/>
          <w:szCs w:val="20"/>
        </w:rPr>
        <w:t xml:space="preserve">soumettre </w:t>
      </w:r>
      <w:r w:rsidRPr="005950A0">
        <w:rPr>
          <w:sz w:val="20"/>
          <w:szCs w:val="20"/>
        </w:rPr>
        <w:t xml:space="preserve">un projet </w:t>
      </w:r>
      <w:r w:rsidR="00F23E3B" w:rsidRPr="005950A0">
        <w:rPr>
          <w:sz w:val="20"/>
          <w:szCs w:val="20"/>
        </w:rPr>
        <w:t xml:space="preserve">proposant </w:t>
      </w:r>
      <w:r w:rsidRPr="005950A0">
        <w:rPr>
          <w:sz w:val="20"/>
          <w:szCs w:val="20"/>
        </w:rPr>
        <w:t>un accueil dans le logement pérenne et un accompagnement global du public réinstallé durant une période de 12 mois.</w:t>
      </w:r>
      <w:r w:rsidR="001867F1">
        <w:rPr>
          <w:sz w:val="20"/>
          <w:szCs w:val="20"/>
        </w:rPr>
        <w:t xml:space="preserve"> En cas d’absence de logement immédiatement disponible, l’opérateur prend en charge un dispositif d’hébergement transitoire. </w:t>
      </w:r>
    </w:p>
    <w:p w14:paraId="48826028" w14:textId="7C38DA0A" w:rsidR="00F23E3B" w:rsidRPr="005950A0" w:rsidRDefault="001867F1" w:rsidP="002341A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00F23E3B" w:rsidRPr="005950A0">
        <w:rPr>
          <w:sz w:val="20"/>
          <w:szCs w:val="20"/>
        </w:rPr>
        <w:t xml:space="preserve">es </w:t>
      </w:r>
      <w:r w:rsidR="0038700A" w:rsidRPr="005950A0">
        <w:rPr>
          <w:sz w:val="20"/>
          <w:szCs w:val="20"/>
        </w:rPr>
        <w:t xml:space="preserve">dispositifs d’accompagnement </w:t>
      </w:r>
      <w:r>
        <w:rPr>
          <w:sz w:val="20"/>
          <w:szCs w:val="20"/>
        </w:rPr>
        <w:t>doivent être adaptés aux</w:t>
      </w:r>
      <w:r w:rsidR="00F23E3B" w:rsidRPr="005950A0">
        <w:rPr>
          <w:sz w:val="20"/>
          <w:szCs w:val="20"/>
        </w:rPr>
        <w:t xml:space="preserve"> type</w:t>
      </w:r>
      <w:r>
        <w:rPr>
          <w:sz w:val="20"/>
          <w:szCs w:val="20"/>
        </w:rPr>
        <w:t>s</w:t>
      </w:r>
      <w:r w:rsidR="00F23E3B" w:rsidRPr="005950A0">
        <w:rPr>
          <w:sz w:val="20"/>
          <w:szCs w:val="20"/>
        </w:rPr>
        <w:t xml:space="preserve"> de publics (public isolé de moi</w:t>
      </w:r>
      <w:r w:rsidR="00BC2999">
        <w:rPr>
          <w:sz w:val="20"/>
          <w:szCs w:val="20"/>
        </w:rPr>
        <w:t>n</w:t>
      </w:r>
      <w:r w:rsidR="00F23E3B" w:rsidRPr="005950A0">
        <w:rPr>
          <w:sz w:val="20"/>
          <w:szCs w:val="20"/>
        </w:rPr>
        <w:t>s de 25 ans, public «</w:t>
      </w:r>
      <w:r w:rsidR="00F23E3B" w:rsidRPr="005950A0">
        <w:rPr>
          <w:rFonts w:ascii="Calibri" w:hAnsi="Calibri" w:cs="Calibri"/>
          <w:sz w:val="20"/>
          <w:szCs w:val="20"/>
        </w:rPr>
        <w:t> </w:t>
      </w:r>
      <w:r w:rsidR="00F23E3B" w:rsidRPr="005950A0">
        <w:rPr>
          <w:sz w:val="20"/>
          <w:szCs w:val="20"/>
        </w:rPr>
        <w:t>familial</w:t>
      </w:r>
      <w:r w:rsidR="00F23E3B" w:rsidRPr="005950A0">
        <w:rPr>
          <w:rFonts w:ascii="Calibri" w:hAnsi="Calibri" w:cs="Calibri"/>
          <w:sz w:val="20"/>
          <w:szCs w:val="20"/>
        </w:rPr>
        <w:t> </w:t>
      </w:r>
      <w:r w:rsidR="00F23E3B" w:rsidRPr="005950A0">
        <w:rPr>
          <w:rFonts w:cs="Marianne"/>
          <w:sz w:val="20"/>
          <w:szCs w:val="20"/>
        </w:rPr>
        <w:t>»</w:t>
      </w:r>
      <w:r w:rsidR="00F23E3B" w:rsidRPr="005950A0">
        <w:rPr>
          <w:sz w:val="20"/>
          <w:szCs w:val="20"/>
        </w:rPr>
        <w:t xml:space="preserve"> et de 25 ans et plus</w:t>
      </w:r>
      <w:r>
        <w:rPr>
          <w:sz w:val="20"/>
          <w:szCs w:val="20"/>
        </w:rPr>
        <w:t>, etc.</w:t>
      </w:r>
      <w:r w:rsidR="00F23E3B" w:rsidRPr="005950A0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30FD9EB2" w14:textId="77777777" w:rsidR="005950A0" w:rsidRPr="005950A0" w:rsidRDefault="005950A0" w:rsidP="005950A0">
      <w:pPr>
        <w:spacing w:line="276" w:lineRule="auto"/>
        <w:rPr>
          <w:sz w:val="20"/>
          <w:szCs w:val="20"/>
        </w:rPr>
      </w:pPr>
    </w:p>
    <w:p w14:paraId="0738BA0E" w14:textId="7B557CE6" w:rsidR="0038700A" w:rsidRPr="005950A0" w:rsidRDefault="00C43500" w:rsidP="005950A0">
      <w:pPr>
        <w:shd w:val="clear" w:color="auto" w:fill="D5DCE4" w:themeFill="text2" w:themeFillTint="33"/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MODALIT</w:t>
      </w:r>
      <w:r w:rsidR="00000E93"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>S DE S</w:t>
      </w:r>
      <w:r w:rsidRPr="005950A0">
        <w:rPr>
          <w:rFonts w:cs="Times New Roman"/>
          <w:b/>
          <w:sz w:val="20"/>
          <w:szCs w:val="20"/>
        </w:rPr>
        <w:t>É</w:t>
      </w:r>
      <w:r w:rsidRPr="005950A0">
        <w:rPr>
          <w:b/>
          <w:sz w:val="20"/>
          <w:szCs w:val="20"/>
        </w:rPr>
        <w:t xml:space="preserve">LECTION DES PROJETS </w:t>
      </w:r>
    </w:p>
    <w:p w14:paraId="264657F8" w14:textId="608E9A17" w:rsidR="0038700A" w:rsidRPr="005950A0" w:rsidRDefault="00000E93" w:rsidP="005950A0">
      <w:pPr>
        <w:pStyle w:val="Paragraphedeliste"/>
        <w:numPr>
          <w:ilvl w:val="0"/>
          <w:numId w:val="10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Montage</w:t>
      </w:r>
      <w:r w:rsidR="0038700A" w:rsidRPr="005950A0">
        <w:rPr>
          <w:b/>
          <w:sz w:val="20"/>
          <w:szCs w:val="20"/>
        </w:rPr>
        <w:t xml:space="preserve"> des projets</w:t>
      </w:r>
    </w:p>
    <w:p w14:paraId="73A9975D" w14:textId="77777777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Dans le dossier de candidature, le porteur de projet devra préciser les éléments suivants :  </w:t>
      </w:r>
    </w:p>
    <w:p w14:paraId="4C20B58F" w14:textId="29FECD68" w:rsidR="0038700A" w:rsidRPr="005950A0" w:rsidRDefault="0038700A" w:rsidP="005950A0">
      <w:pPr>
        <w:pStyle w:val="Paragraphedeliste"/>
        <w:numPr>
          <w:ilvl w:val="0"/>
          <w:numId w:val="11"/>
        </w:numPr>
        <w:spacing w:line="276" w:lineRule="auto"/>
        <w:rPr>
          <w:sz w:val="20"/>
          <w:szCs w:val="20"/>
          <w:u w:val="single"/>
        </w:rPr>
      </w:pPr>
      <w:r w:rsidRPr="005950A0">
        <w:rPr>
          <w:sz w:val="20"/>
          <w:szCs w:val="20"/>
          <w:u w:val="single"/>
        </w:rPr>
        <w:t>le nombre de</w:t>
      </w:r>
      <w:r w:rsidR="00C43500" w:rsidRPr="005950A0">
        <w:rPr>
          <w:sz w:val="20"/>
          <w:szCs w:val="20"/>
          <w:u w:val="single"/>
        </w:rPr>
        <w:t xml:space="preserve"> personnes qu’il </w:t>
      </w:r>
      <w:r w:rsidR="00BC2999">
        <w:rPr>
          <w:sz w:val="20"/>
          <w:szCs w:val="20"/>
          <w:u w:val="single"/>
        </w:rPr>
        <w:t>est en capacité</w:t>
      </w:r>
      <w:r w:rsidR="00BC2999" w:rsidRPr="005950A0">
        <w:rPr>
          <w:sz w:val="20"/>
          <w:szCs w:val="20"/>
          <w:u w:val="single"/>
        </w:rPr>
        <w:t xml:space="preserve"> </w:t>
      </w:r>
      <w:r w:rsidR="00BC2999">
        <w:rPr>
          <w:sz w:val="20"/>
          <w:szCs w:val="20"/>
          <w:u w:val="single"/>
        </w:rPr>
        <w:t>d’</w:t>
      </w:r>
      <w:r w:rsidR="00C43500" w:rsidRPr="005950A0">
        <w:rPr>
          <w:sz w:val="20"/>
          <w:szCs w:val="20"/>
          <w:u w:val="single"/>
        </w:rPr>
        <w:t>accompagner</w:t>
      </w:r>
      <w:r w:rsidRPr="005950A0">
        <w:rPr>
          <w:sz w:val="20"/>
          <w:szCs w:val="20"/>
          <w:u w:val="single"/>
        </w:rPr>
        <w:t xml:space="preserve"> </w:t>
      </w:r>
    </w:p>
    <w:p w14:paraId="1DE202A6" w14:textId="55BD8E28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L’opérateur répondant à l’appel à projet</w:t>
      </w:r>
      <w:r w:rsidR="00C43500" w:rsidRPr="005950A0">
        <w:rPr>
          <w:sz w:val="20"/>
          <w:szCs w:val="20"/>
        </w:rPr>
        <w:t>s</w:t>
      </w:r>
      <w:r w:rsidRPr="005950A0">
        <w:rPr>
          <w:sz w:val="20"/>
          <w:szCs w:val="20"/>
        </w:rPr>
        <w:t xml:space="preserve"> indiquera le nombre de personnes réinstallées qu’il souhaite accompagner dans la limite du plafond décliné par région d’accueil</w:t>
      </w:r>
      <w:r w:rsidR="0036259B">
        <w:rPr>
          <w:sz w:val="20"/>
          <w:szCs w:val="20"/>
        </w:rPr>
        <w:t xml:space="preserve"> soit entre 1</w:t>
      </w:r>
      <w:r w:rsidR="009A5967">
        <w:rPr>
          <w:sz w:val="20"/>
          <w:szCs w:val="20"/>
        </w:rPr>
        <w:t>50</w:t>
      </w:r>
      <w:r w:rsidR="0036259B">
        <w:rPr>
          <w:sz w:val="20"/>
          <w:szCs w:val="20"/>
        </w:rPr>
        <w:t xml:space="preserve"> et 2</w:t>
      </w:r>
      <w:r w:rsidR="009A5967">
        <w:rPr>
          <w:sz w:val="20"/>
          <w:szCs w:val="20"/>
        </w:rPr>
        <w:t>50</w:t>
      </w:r>
      <w:r w:rsidR="0036259B">
        <w:rPr>
          <w:sz w:val="20"/>
          <w:szCs w:val="20"/>
        </w:rPr>
        <w:t xml:space="preserve"> personnes réinstallées. </w:t>
      </w:r>
    </w:p>
    <w:p w14:paraId="028C49AA" w14:textId="2D5F53BF" w:rsidR="0038700A" w:rsidRPr="005950A0" w:rsidRDefault="0038700A" w:rsidP="005950A0">
      <w:pPr>
        <w:pStyle w:val="Paragraphedeliste"/>
        <w:numPr>
          <w:ilvl w:val="0"/>
          <w:numId w:val="11"/>
        </w:numPr>
        <w:spacing w:line="276" w:lineRule="auto"/>
        <w:rPr>
          <w:sz w:val="20"/>
          <w:szCs w:val="20"/>
          <w:u w:val="single"/>
        </w:rPr>
      </w:pPr>
      <w:r w:rsidRPr="005950A0">
        <w:rPr>
          <w:sz w:val="20"/>
          <w:szCs w:val="20"/>
          <w:u w:val="single"/>
        </w:rPr>
        <w:t xml:space="preserve">le nombre, la localisation et la typologie des logements </w:t>
      </w:r>
      <w:r w:rsidR="00C43500" w:rsidRPr="005950A0">
        <w:rPr>
          <w:sz w:val="20"/>
          <w:szCs w:val="20"/>
          <w:u w:val="single"/>
        </w:rPr>
        <w:t>qu’il entend mettre à disposition du programme</w:t>
      </w:r>
    </w:p>
    <w:p w14:paraId="5AF2AA71" w14:textId="78F07DE8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Il est demandé de mobiliser des logements qui, pour le parc social, tiennent compte des situations locales, notamment du contexte social et des tensions sur la demande de logement social. </w:t>
      </w:r>
      <w:r w:rsidR="00537E85" w:rsidRPr="005950A0">
        <w:rPr>
          <w:sz w:val="20"/>
          <w:szCs w:val="20"/>
        </w:rPr>
        <w:t>La prospection dans le parc privé devra également être encouragée</w:t>
      </w:r>
      <w:r w:rsidRPr="005950A0">
        <w:rPr>
          <w:sz w:val="20"/>
          <w:szCs w:val="20"/>
        </w:rPr>
        <w:t>.</w:t>
      </w:r>
    </w:p>
    <w:p w14:paraId="2A8186EC" w14:textId="60713267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lastRenderedPageBreak/>
        <w:t>Des dispositions spécifiques doivent être prises pour accueillir les réfugiés réinstallés</w:t>
      </w:r>
      <w:r w:rsidR="00B54B00" w:rsidRPr="005950A0">
        <w:rPr>
          <w:sz w:val="20"/>
          <w:szCs w:val="20"/>
        </w:rPr>
        <w:t>,</w:t>
      </w:r>
      <w:r w:rsidRPr="005950A0">
        <w:rPr>
          <w:sz w:val="20"/>
          <w:szCs w:val="20"/>
        </w:rPr>
        <w:t xml:space="preserve"> qui</w:t>
      </w:r>
      <w:r w:rsidR="001867F1">
        <w:rPr>
          <w:sz w:val="20"/>
          <w:szCs w:val="20"/>
        </w:rPr>
        <w:t>,</w:t>
      </w:r>
      <w:r w:rsidRPr="005950A0">
        <w:rPr>
          <w:sz w:val="20"/>
          <w:szCs w:val="20"/>
        </w:rPr>
        <w:t xml:space="preserve"> pour un certain nombre</w:t>
      </w:r>
      <w:r w:rsidR="00B54B00" w:rsidRPr="005950A0">
        <w:rPr>
          <w:sz w:val="20"/>
          <w:szCs w:val="20"/>
        </w:rPr>
        <w:t>,</w:t>
      </w:r>
      <w:r w:rsidRPr="005950A0">
        <w:rPr>
          <w:sz w:val="20"/>
          <w:szCs w:val="20"/>
        </w:rPr>
        <w:t xml:space="preserve"> sont particulièrement vulnérables. En effet, du fait de leur situation médicale, ils peuvent être limités dans leurs déplacements ou nécessit</w:t>
      </w:r>
      <w:r w:rsidR="0064251F">
        <w:rPr>
          <w:sz w:val="20"/>
          <w:szCs w:val="20"/>
        </w:rPr>
        <w:t>er</w:t>
      </w:r>
      <w:r w:rsidRPr="005950A0">
        <w:rPr>
          <w:sz w:val="20"/>
          <w:szCs w:val="20"/>
        </w:rPr>
        <w:t xml:space="preserve"> des traitements lourds. Il est donc demandé que certains logements permettent l'accès simple à des infrastructures médicales et soient accessibles aux personnes à mobilité réduite.</w:t>
      </w:r>
    </w:p>
    <w:p w14:paraId="4621DC5B" w14:textId="305239F7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Les opérateurs devront veiller, en lien avec les services déconcentrés, à l’acceptabilité de la mobilisation de ces logements. Ils prendront l’attache des coordonnateurs </w:t>
      </w:r>
      <w:r w:rsidR="00B54B00" w:rsidRPr="005950A0">
        <w:rPr>
          <w:sz w:val="20"/>
          <w:szCs w:val="20"/>
        </w:rPr>
        <w:t>«</w:t>
      </w:r>
      <w:r w:rsidR="00B54B00"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sz w:val="20"/>
          <w:szCs w:val="20"/>
        </w:rPr>
        <w:t>asile</w:t>
      </w:r>
      <w:r w:rsidR="00B54B00" w:rsidRPr="005950A0">
        <w:rPr>
          <w:rFonts w:ascii="Calibri" w:hAnsi="Calibri" w:cs="Calibri"/>
          <w:sz w:val="20"/>
          <w:szCs w:val="20"/>
        </w:rPr>
        <w:t> </w:t>
      </w:r>
      <w:r w:rsidR="00B54B00" w:rsidRPr="005950A0">
        <w:rPr>
          <w:rFonts w:cs="Marianne"/>
          <w:sz w:val="20"/>
          <w:szCs w:val="20"/>
        </w:rPr>
        <w:t>»</w:t>
      </w:r>
      <w:r w:rsidRPr="005950A0">
        <w:rPr>
          <w:sz w:val="20"/>
          <w:szCs w:val="20"/>
        </w:rPr>
        <w:t xml:space="preserve"> départementaux avant toute captation de logements publics ou privés. </w:t>
      </w:r>
    </w:p>
    <w:p w14:paraId="1C0F79FC" w14:textId="77777777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Les projets retenus devront comporter une part de leur offre dans le parc privé (notamment via l’intermédiation locative). </w:t>
      </w:r>
    </w:p>
    <w:p w14:paraId="18C773BE" w14:textId="7632F5C8" w:rsidR="0038700A" w:rsidRPr="005950A0" w:rsidRDefault="0038700A" w:rsidP="005950A0">
      <w:pPr>
        <w:pStyle w:val="Paragraphedeliste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  <w:u w:val="single"/>
        </w:rPr>
        <w:t>l’accompagnement prévu</w:t>
      </w:r>
    </w:p>
    <w:p w14:paraId="36B00688" w14:textId="4288B3A1" w:rsidR="0038700A" w:rsidRPr="005950A0" w:rsidRDefault="00507C3E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En matière, n</w:t>
      </w:r>
      <w:r w:rsidR="0038700A" w:rsidRPr="005950A0">
        <w:rPr>
          <w:sz w:val="20"/>
          <w:szCs w:val="20"/>
        </w:rPr>
        <w:t xml:space="preserve">otamment : </w:t>
      </w:r>
    </w:p>
    <w:p w14:paraId="755CC1AE" w14:textId="1160084C" w:rsidR="003030AC" w:rsidRPr="005950A0" w:rsidRDefault="00537E85" w:rsidP="005950A0">
      <w:pPr>
        <w:pStyle w:val="Paragraphedeliste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du</w:t>
      </w:r>
      <w:r w:rsidR="003030AC" w:rsidRPr="005950A0">
        <w:rPr>
          <w:sz w:val="20"/>
          <w:szCs w:val="20"/>
        </w:rPr>
        <w:t xml:space="preserve"> nombre d’ETP mobilisés</w:t>
      </w:r>
    </w:p>
    <w:p w14:paraId="19F76653" w14:textId="2C2B1929" w:rsidR="0038700A" w:rsidRPr="005950A0" w:rsidRDefault="00507C3E" w:rsidP="005950A0">
      <w:pPr>
        <w:pStyle w:val="Paragraphedeliste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de </w:t>
      </w:r>
      <w:r w:rsidR="0038700A" w:rsidRPr="005950A0">
        <w:rPr>
          <w:sz w:val="20"/>
          <w:szCs w:val="20"/>
        </w:rPr>
        <w:t>mise à disposition d’une aide de transition (premiers loyers, frais de subsistance, transport, etc.) dans l’attente de l’accès des réfugiés aux droits sociaux ;</w:t>
      </w:r>
    </w:p>
    <w:p w14:paraId="431D4C9A" w14:textId="0C7113A9" w:rsidR="0038700A" w:rsidRPr="005950A0" w:rsidRDefault="00507C3E" w:rsidP="005950A0">
      <w:pPr>
        <w:pStyle w:val="Paragraphedeliste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de </w:t>
      </w:r>
      <w:r w:rsidR="0038700A" w:rsidRPr="005950A0">
        <w:rPr>
          <w:sz w:val="20"/>
          <w:szCs w:val="20"/>
        </w:rPr>
        <w:t>mesures prévues pour les démarches administratives, sociales, d’accès aux droits et aux soins, l’accompagnement professionnel, l’apprentissage du français ;</w:t>
      </w:r>
    </w:p>
    <w:p w14:paraId="548849EC" w14:textId="2C7472ED" w:rsidR="0038700A" w:rsidRPr="005950A0" w:rsidRDefault="00507C3E" w:rsidP="005950A0">
      <w:pPr>
        <w:pStyle w:val="Paragraphedeliste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de </w:t>
      </w:r>
      <w:r w:rsidR="0038700A" w:rsidRPr="005950A0">
        <w:rPr>
          <w:sz w:val="20"/>
          <w:szCs w:val="20"/>
        </w:rPr>
        <w:t xml:space="preserve">partenariats prévus ou mis en place avec les services de l'État et ses opérateurs ainsi que le secteur associatif, la société civile et les collectivités territoriales (ARS, </w:t>
      </w:r>
      <w:r w:rsidR="00CE3A32">
        <w:rPr>
          <w:sz w:val="20"/>
          <w:szCs w:val="20"/>
        </w:rPr>
        <w:t>D</w:t>
      </w:r>
      <w:r w:rsidR="00407F93">
        <w:rPr>
          <w:sz w:val="20"/>
          <w:szCs w:val="20"/>
        </w:rPr>
        <w:t>D</w:t>
      </w:r>
      <w:r w:rsidR="00CE3A32">
        <w:rPr>
          <w:sz w:val="20"/>
          <w:szCs w:val="20"/>
        </w:rPr>
        <w:t>ETS</w:t>
      </w:r>
      <w:r w:rsidR="0038700A" w:rsidRPr="005950A0">
        <w:rPr>
          <w:sz w:val="20"/>
          <w:szCs w:val="20"/>
        </w:rPr>
        <w:t>, Pôle emploi, chambres consulaires, associations, etc.).</w:t>
      </w:r>
    </w:p>
    <w:p w14:paraId="34F10DBE" w14:textId="77777777" w:rsidR="005651BC" w:rsidRPr="005950A0" w:rsidRDefault="005651BC" w:rsidP="005950A0">
      <w:pPr>
        <w:pStyle w:val="Paragraphedeliste"/>
        <w:spacing w:line="276" w:lineRule="auto"/>
        <w:rPr>
          <w:sz w:val="20"/>
          <w:szCs w:val="20"/>
        </w:rPr>
      </w:pPr>
    </w:p>
    <w:p w14:paraId="0B88C4BE" w14:textId="1A390BB4" w:rsidR="0038700A" w:rsidRPr="005950A0" w:rsidRDefault="003030AC" w:rsidP="005950A0">
      <w:pPr>
        <w:pStyle w:val="Paragraphedeliste"/>
        <w:numPr>
          <w:ilvl w:val="0"/>
          <w:numId w:val="10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Complétude du dossier</w:t>
      </w:r>
      <w:r w:rsidR="00C371B1">
        <w:rPr>
          <w:b/>
          <w:sz w:val="20"/>
          <w:szCs w:val="20"/>
        </w:rPr>
        <w:t> :</w:t>
      </w:r>
    </w:p>
    <w:p w14:paraId="18F076FB" w14:textId="77777777" w:rsidR="0038700A" w:rsidRPr="005950A0" w:rsidRDefault="0038700A" w:rsidP="005950A0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Le porteur de projet fournira les éléments suivants :</w:t>
      </w:r>
    </w:p>
    <w:p w14:paraId="0E48AB4C" w14:textId="6863F63F" w:rsidR="00C43500" w:rsidRPr="005950A0" w:rsidRDefault="0038700A" w:rsidP="005950A0">
      <w:pPr>
        <w:pStyle w:val="Paragraphedeliste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 xml:space="preserve">Le </w:t>
      </w:r>
      <w:r w:rsidR="00507C3E" w:rsidRPr="005950A0">
        <w:rPr>
          <w:sz w:val="20"/>
          <w:szCs w:val="20"/>
        </w:rPr>
        <w:t xml:space="preserve">CERFA </w:t>
      </w:r>
      <w:r w:rsidRPr="005950A0">
        <w:rPr>
          <w:sz w:val="20"/>
          <w:szCs w:val="20"/>
        </w:rPr>
        <w:t>n° 12156*05 de demande de subvention</w:t>
      </w:r>
      <w:r w:rsidR="00C43500" w:rsidRPr="005950A0">
        <w:rPr>
          <w:rFonts w:ascii="Calibri" w:hAnsi="Calibri" w:cs="Calibri"/>
          <w:sz w:val="20"/>
          <w:szCs w:val="20"/>
        </w:rPr>
        <w:t> </w:t>
      </w:r>
      <w:r w:rsidR="00C43500" w:rsidRPr="005950A0">
        <w:rPr>
          <w:sz w:val="20"/>
          <w:szCs w:val="20"/>
        </w:rPr>
        <w:t>;</w:t>
      </w:r>
    </w:p>
    <w:p w14:paraId="0827205E" w14:textId="6432E1BE" w:rsidR="00C43500" w:rsidRPr="005950A0" w:rsidRDefault="00C43500" w:rsidP="005950A0">
      <w:pPr>
        <w:pStyle w:val="Paragraphedeliste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Les comptes annuels des années précédentes</w:t>
      </w:r>
      <w:r w:rsidRPr="005950A0">
        <w:rPr>
          <w:rFonts w:ascii="Calibri" w:hAnsi="Calibri" w:cs="Calibri"/>
          <w:sz w:val="20"/>
          <w:szCs w:val="20"/>
        </w:rPr>
        <w:t> </w:t>
      </w:r>
      <w:r w:rsidRPr="005950A0">
        <w:rPr>
          <w:sz w:val="20"/>
          <w:szCs w:val="20"/>
        </w:rPr>
        <w:t>;</w:t>
      </w:r>
    </w:p>
    <w:p w14:paraId="7C752E11" w14:textId="4926ED34" w:rsidR="005950A0" w:rsidRDefault="006071D1" w:rsidP="005950A0">
      <w:pPr>
        <w:pStyle w:val="Paragraphedeliste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Les bilans des projets menés dans le cadre des programmes de réinstallation précédents</w:t>
      </w:r>
      <w:r w:rsidR="005950A0">
        <w:rPr>
          <w:sz w:val="20"/>
          <w:szCs w:val="20"/>
        </w:rPr>
        <w:t>.</w:t>
      </w:r>
    </w:p>
    <w:p w14:paraId="0407F521" w14:textId="4DB18C06" w:rsidR="00182D01" w:rsidRDefault="00BD3E8F" w:rsidP="005950A0">
      <w:pPr>
        <w:pStyle w:val="Paragraphedeliste"/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Attestation de fourniture des déclarations sociales et paiement des cotisations et des contributions sociales </w:t>
      </w:r>
    </w:p>
    <w:p w14:paraId="5F215BBA" w14:textId="6509B23D" w:rsidR="00BD3E8F" w:rsidRDefault="00BD3E8F" w:rsidP="005950A0">
      <w:pPr>
        <w:pStyle w:val="Paragraphedeliste"/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Attestation de régularité fiscale </w:t>
      </w:r>
    </w:p>
    <w:p w14:paraId="7E4E1E54" w14:textId="15EE8A35" w:rsidR="00BD3E8F" w:rsidRDefault="00BD3E8F" w:rsidP="005950A0">
      <w:pPr>
        <w:pStyle w:val="Paragraphedeliste"/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Liasse fiscale </w:t>
      </w:r>
    </w:p>
    <w:p w14:paraId="1C24C1AE" w14:textId="77777777" w:rsidR="005950A0" w:rsidRPr="005950A0" w:rsidRDefault="005950A0" w:rsidP="005950A0">
      <w:pPr>
        <w:pStyle w:val="Paragraphedeliste"/>
        <w:spacing w:line="276" w:lineRule="auto"/>
        <w:rPr>
          <w:sz w:val="20"/>
          <w:szCs w:val="20"/>
        </w:rPr>
      </w:pPr>
    </w:p>
    <w:p w14:paraId="014D409A" w14:textId="419C396D" w:rsidR="00000E93" w:rsidRPr="005950A0" w:rsidRDefault="00000E93" w:rsidP="005950A0">
      <w:pPr>
        <w:pStyle w:val="Paragraphedeliste"/>
        <w:numPr>
          <w:ilvl w:val="0"/>
          <w:numId w:val="10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>Critères de sélection des dossiers</w:t>
      </w:r>
    </w:p>
    <w:p w14:paraId="0AD8DD83" w14:textId="2BEEFE9B" w:rsidR="00000E93" w:rsidRPr="005950A0" w:rsidRDefault="00000E93" w:rsidP="005950A0">
      <w:p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 xml:space="preserve">Les dossiers </w:t>
      </w:r>
      <w:r w:rsidR="0056571C" w:rsidRPr="005950A0">
        <w:rPr>
          <w:b/>
          <w:sz w:val="20"/>
          <w:szCs w:val="20"/>
        </w:rPr>
        <w:t>seront évalués sur la base des critères suivants</w:t>
      </w:r>
      <w:r w:rsidR="006071D1" w:rsidRPr="005950A0">
        <w:rPr>
          <w:rFonts w:ascii="Calibri" w:hAnsi="Calibri" w:cs="Calibri"/>
          <w:b/>
          <w:sz w:val="20"/>
          <w:szCs w:val="20"/>
        </w:rPr>
        <w:t> </w:t>
      </w:r>
      <w:r w:rsidR="006071D1" w:rsidRPr="005950A0">
        <w:rPr>
          <w:b/>
          <w:sz w:val="20"/>
          <w:szCs w:val="20"/>
        </w:rPr>
        <w:t>:</w:t>
      </w:r>
    </w:p>
    <w:tbl>
      <w:tblPr>
        <w:tblStyle w:val="Grilledutableau"/>
        <w:tblW w:w="9363" w:type="dxa"/>
        <w:tblLook w:val="04A0" w:firstRow="1" w:lastRow="0" w:firstColumn="1" w:lastColumn="0" w:noHBand="0" w:noVBand="1"/>
      </w:tblPr>
      <w:tblGrid>
        <w:gridCol w:w="2073"/>
        <w:gridCol w:w="6435"/>
        <w:gridCol w:w="855"/>
      </w:tblGrid>
      <w:tr w:rsidR="00000E93" w:rsidRPr="005950A0" w14:paraId="6C892B0E" w14:textId="77777777" w:rsidTr="005950A0">
        <w:trPr>
          <w:trHeight w:val="285"/>
        </w:trPr>
        <w:tc>
          <w:tcPr>
            <w:tcW w:w="1887" w:type="dxa"/>
            <w:shd w:val="clear" w:color="auto" w:fill="113277"/>
            <w:vAlign w:val="center"/>
          </w:tcPr>
          <w:p w14:paraId="218129EC" w14:textId="41C9A016" w:rsidR="00000E93" w:rsidRPr="005950A0" w:rsidRDefault="00000E93" w:rsidP="005950A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bookmarkStart w:id="1" w:name="_Hlk86397430"/>
            <w:r w:rsidRPr="005950A0">
              <w:rPr>
                <w:b/>
                <w:bCs/>
                <w:sz w:val="20"/>
                <w:szCs w:val="20"/>
              </w:rPr>
              <w:t>Critère</w:t>
            </w:r>
            <w:r w:rsidR="00A3408E" w:rsidRPr="005950A0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15" w:type="dxa"/>
            <w:shd w:val="clear" w:color="auto" w:fill="113277"/>
            <w:vAlign w:val="center"/>
          </w:tcPr>
          <w:p w14:paraId="73320C63" w14:textId="77777777" w:rsidR="00000E93" w:rsidRPr="005950A0" w:rsidRDefault="00000E93" w:rsidP="005950A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50A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61" w:type="dxa"/>
            <w:shd w:val="clear" w:color="auto" w:fill="113277"/>
          </w:tcPr>
          <w:p w14:paraId="62122102" w14:textId="77777777" w:rsidR="00000E93" w:rsidRPr="005950A0" w:rsidRDefault="00000E93" w:rsidP="005950A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50A0"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000E93" w:rsidRPr="005950A0" w14:paraId="2F9AA3C2" w14:textId="77777777" w:rsidTr="004A4217">
        <w:trPr>
          <w:trHeight w:val="20"/>
        </w:trPr>
        <w:tc>
          <w:tcPr>
            <w:tcW w:w="1887" w:type="dxa"/>
            <w:shd w:val="clear" w:color="auto" w:fill="D9E2F3" w:themeFill="accent5" w:themeFillTint="33"/>
            <w:vAlign w:val="center"/>
          </w:tcPr>
          <w:p w14:paraId="6545B66A" w14:textId="24159C6C" w:rsidR="00000E93" w:rsidRPr="005950A0" w:rsidRDefault="0056571C" w:rsidP="004A4217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5950A0">
              <w:rPr>
                <w:b/>
                <w:bCs/>
                <w:sz w:val="20"/>
                <w:szCs w:val="20"/>
              </w:rPr>
              <w:t>Qualité de l’accompagnement prévu</w:t>
            </w:r>
          </w:p>
        </w:tc>
        <w:tc>
          <w:tcPr>
            <w:tcW w:w="6615" w:type="dxa"/>
            <w:vAlign w:val="center"/>
          </w:tcPr>
          <w:p w14:paraId="3E73E3F0" w14:textId="600A315B" w:rsidR="00000E93" w:rsidRPr="005950A0" w:rsidRDefault="00000E93" w:rsidP="005950A0">
            <w:pPr>
              <w:spacing w:line="276" w:lineRule="auto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 xml:space="preserve">Une attention particulière sera accordée aux projets </w:t>
            </w:r>
            <w:r w:rsidR="0056571C" w:rsidRPr="005950A0">
              <w:rPr>
                <w:sz w:val="20"/>
                <w:szCs w:val="20"/>
              </w:rPr>
              <w:t>proposant un accompagnement de qualité</w:t>
            </w:r>
            <w:r w:rsidR="006071D1" w:rsidRPr="005950A0">
              <w:rPr>
                <w:sz w:val="20"/>
                <w:szCs w:val="20"/>
              </w:rPr>
              <w:t xml:space="preserve"> et sécurisant.</w:t>
            </w:r>
          </w:p>
        </w:tc>
        <w:tc>
          <w:tcPr>
            <w:tcW w:w="861" w:type="dxa"/>
            <w:vAlign w:val="center"/>
          </w:tcPr>
          <w:p w14:paraId="7EFC4972" w14:textId="77777777" w:rsidR="00000E93" w:rsidRPr="005950A0" w:rsidRDefault="00000E93" w:rsidP="005950A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>/20</w:t>
            </w:r>
          </w:p>
        </w:tc>
      </w:tr>
      <w:tr w:rsidR="00000E93" w:rsidRPr="005950A0" w14:paraId="1AFE820D" w14:textId="77777777" w:rsidTr="004A4217">
        <w:trPr>
          <w:trHeight w:val="20"/>
        </w:trPr>
        <w:tc>
          <w:tcPr>
            <w:tcW w:w="1887" w:type="dxa"/>
            <w:shd w:val="clear" w:color="auto" w:fill="D9E2F3" w:themeFill="accent5" w:themeFillTint="33"/>
            <w:vAlign w:val="center"/>
          </w:tcPr>
          <w:p w14:paraId="35C9DB3C" w14:textId="77777777" w:rsidR="00000E93" w:rsidRPr="005950A0" w:rsidRDefault="00000E93" w:rsidP="004A4217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5950A0">
              <w:rPr>
                <w:b/>
                <w:bCs/>
                <w:sz w:val="20"/>
                <w:szCs w:val="20"/>
              </w:rPr>
              <w:lastRenderedPageBreak/>
              <w:t>Suivi du public cible</w:t>
            </w:r>
          </w:p>
        </w:tc>
        <w:tc>
          <w:tcPr>
            <w:tcW w:w="6615" w:type="dxa"/>
            <w:vAlign w:val="center"/>
          </w:tcPr>
          <w:p w14:paraId="1BEC576E" w14:textId="738DC4E7" w:rsidR="00000E93" w:rsidRPr="005950A0" w:rsidRDefault="00000E93" w:rsidP="005950A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 xml:space="preserve">Dès </w:t>
            </w:r>
            <w:r w:rsidR="006C47FC" w:rsidRPr="006C47FC">
              <w:rPr>
                <w:sz w:val="20"/>
                <w:szCs w:val="20"/>
              </w:rPr>
              <w:t>le démarrage du projet, le suivi et la traçabilité des actions d’accompagnement du public cible doivent être mis en place par le porteur de projet, au moyen d'outils fiables.</w:t>
            </w:r>
          </w:p>
        </w:tc>
        <w:tc>
          <w:tcPr>
            <w:tcW w:w="861" w:type="dxa"/>
            <w:vAlign w:val="center"/>
          </w:tcPr>
          <w:p w14:paraId="54E2C724" w14:textId="77777777" w:rsidR="00000E93" w:rsidRPr="005950A0" w:rsidRDefault="00000E93" w:rsidP="005950A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>/20</w:t>
            </w:r>
          </w:p>
        </w:tc>
      </w:tr>
      <w:tr w:rsidR="00000E93" w:rsidRPr="005950A0" w14:paraId="16168873" w14:textId="77777777" w:rsidTr="004A4217">
        <w:trPr>
          <w:trHeight w:val="20"/>
        </w:trPr>
        <w:tc>
          <w:tcPr>
            <w:tcW w:w="1887" w:type="dxa"/>
            <w:shd w:val="clear" w:color="auto" w:fill="D9E2F3" w:themeFill="accent5" w:themeFillTint="33"/>
            <w:vAlign w:val="center"/>
          </w:tcPr>
          <w:p w14:paraId="7F12C662" w14:textId="77777777" w:rsidR="00000E93" w:rsidRPr="005950A0" w:rsidRDefault="00000E93" w:rsidP="004A4217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5950A0">
              <w:rPr>
                <w:b/>
                <w:bCs/>
                <w:sz w:val="20"/>
                <w:szCs w:val="20"/>
              </w:rPr>
              <w:t>Montage du projet</w:t>
            </w:r>
          </w:p>
        </w:tc>
        <w:tc>
          <w:tcPr>
            <w:tcW w:w="6615" w:type="dxa"/>
            <w:vAlign w:val="center"/>
          </w:tcPr>
          <w:p w14:paraId="0E519FFB" w14:textId="29A9763C" w:rsidR="00000E93" w:rsidRPr="005950A0" w:rsidRDefault="006071D1" w:rsidP="005950A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>Il s’agira de</w:t>
            </w:r>
            <w:r w:rsidR="00000E93" w:rsidRPr="005950A0">
              <w:rPr>
                <w:sz w:val="20"/>
                <w:szCs w:val="20"/>
              </w:rPr>
              <w:t xml:space="preserve"> s'assurer que le pro</w:t>
            </w:r>
            <w:r w:rsidRPr="005950A0">
              <w:rPr>
                <w:sz w:val="20"/>
                <w:szCs w:val="20"/>
              </w:rPr>
              <w:t>jet est construit de manière adéquate au regard des objectifs d’accueil proposé par le porteur de projet.</w:t>
            </w:r>
          </w:p>
        </w:tc>
        <w:tc>
          <w:tcPr>
            <w:tcW w:w="861" w:type="dxa"/>
            <w:vAlign w:val="center"/>
          </w:tcPr>
          <w:p w14:paraId="6C7315C1" w14:textId="77777777" w:rsidR="00000E93" w:rsidRPr="005950A0" w:rsidRDefault="00000E93" w:rsidP="005950A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>/20</w:t>
            </w:r>
          </w:p>
        </w:tc>
      </w:tr>
      <w:tr w:rsidR="00000E93" w:rsidRPr="005950A0" w14:paraId="7E00F5FC" w14:textId="77777777" w:rsidTr="004A4217">
        <w:trPr>
          <w:trHeight w:val="20"/>
        </w:trPr>
        <w:tc>
          <w:tcPr>
            <w:tcW w:w="1887" w:type="dxa"/>
            <w:shd w:val="clear" w:color="auto" w:fill="D9E2F3" w:themeFill="accent5" w:themeFillTint="33"/>
            <w:vAlign w:val="center"/>
          </w:tcPr>
          <w:p w14:paraId="797D56A7" w14:textId="77777777" w:rsidR="00000E93" w:rsidRPr="005950A0" w:rsidRDefault="00000E93" w:rsidP="004A4217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5950A0">
              <w:rPr>
                <w:b/>
                <w:bCs/>
                <w:sz w:val="20"/>
                <w:szCs w:val="20"/>
              </w:rPr>
              <w:t>Suivi du projet par le porteur</w:t>
            </w:r>
          </w:p>
        </w:tc>
        <w:tc>
          <w:tcPr>
            <w:tcW w:w="6615" w:type="dxa"/>
            <w:vAlign w:val="center"/>
          </w:tcPr>
          <w:p w14:paraId="58722B52" w14:textId="3CD6A5EF" w:rsidR="00000E93" w:rsidRPr="005950A0" w:rsidRDefault="006071D1" w:rsidP="005950A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>Il s’agira de s'assurer que le porteur de projet dispose</w:t>
            </w:r>
            <w:r w:rsidR="00000E93" w:rsidRPr="005950A0">
              <w:rPr>
                <w:sz w:val="20"/>
                <w:szCs w:val="20"/>
              </w:rPr>
              <w:t xml:space="preserve"> des outils, des formations et des moyens techniques</w:t>
            </w:r>
            <w:r w:rsidRPr="005950A0">
              <w:rPr>
                <w:sz w:val="20"/>
                <w:szCs w:val="20"/>
              </w:rPr>
              <w:t xml:space="preserve"> et humains nécessaires pour la bonne mise en œuvre </w:t>
            </w:r>
            <w:r w:rsidR="00000E93" w:rsidRPr="005950A0">
              <w:rPr>
                <w:sz w:val="20"/>
                <w:szCs w:val="20"/>
              </w:rPr>
              <w:t>du projet.</w:t>
            </w:r>
          </w:p>
        </w:tc>
        <w:tc>
          <w:tcPr>
            <w:tcW w:w="861" w:type="dxa"/>
            <w:vAlign w:val="center"/>
          </w:tcPr>
          <w:p w14:paraId="2EF4BCEF" w14:textId="77777777" w:rsidR="00000E93" w:rsidRPr="005950A0" w:rsidRDefault="00000E93" w:rsidP="005950A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950A0">
              <w:rPr>
                <w:sz w:val="20"/>
                <w:szCs w:val="20"/>
              </w:rPr>
              <w:t>/20</w:t>
            </w:r>
          </w:p>
        </w:tc>
      </w:tr>
      <w:bookmarkEnd w:id="1"/>
    </w:tbl>
    <w:p w14:paraId="3EB8EE73" w14:textId="77777777" w:rsidR="00C93C60" w:rsidRDefault="00C93C60" w:rsidP="005950A0">
      <w:pPr>
        <w:spacing w:line="276" w:lineRule="auto"/>
        <w:rPr>
          <w:sz w:val="20"/>
          <w:szCs w:val="20"/>
        </w:rPr>
      </w:pPr>
    </w:p>
    <w:p w14:paraId="0824A48F" w14:textId="77777777" w:rsidR="005950A0" w:rsidRPr="005950A0" w:rsidRDefault="005950A0" w:rsidP="005950A0">
      <w:pPr>
        <w:spacing w:line="276" w:lineRule="auto"/>
        <w:rPr>
          <w:sz w:val="20"/>
          <w:szCs w:val="20"/>
        </w:rPr>
      </w:pPr>
    </w:p>
    <w:p w14:paraId="76C1A397" w14:textId="3719CC8F" w:rsidR="00C93C60" w:rsidRPr="005950A0" w:rsidRDefault="0038700A" w:rsidP="005950A0">
      <w:pPr>
        <w:pStyle w:val="Paragraphedeliste"/>
        <w:numPr>
          <w:ilvl w:val="0"/>
          <w:numId w:val="10"/>
        </w:numPr>
        <w:spacing w:line="276" w:lineRule="auto"/>
        <w:rPr>
          <w:b/>
          <w:sz w:val="20"/>
          <w:szCs w:val="20"/>
        </w:rPr>
      </w:pPr>
      <w:r w:rsidRPr="005950A0">
        <w:rPr>
          <w:b/>
          <w:sz w:val="20"/>
          <w:szCs w:val="20"/>
        </w:rPr>
        <w:t xml:space="preserve">Notification des décisions </w:t>
      </w:r>
    </w:p>
    <w:p w14:paraId="0672FE7C" w14:textId="758DE313" w:rsidR="005651BC" w:rsidRPr="005950A0" w:rsidRDefault="005651BC" w:rsidP="002341AA">
      <w:pPr>
        <w:spacing w:line="276" w:lineRule="auto"/>
        <w:rPr>
          <w:sz w:val="20"/>
          <w:szCs w:val="20"/>
        </w:rPr>
      </w:pPr>
      <w:r w:rsidRPr="005950A0">
        <w:rPr>
          <w:sz w:val="20"/>
          <w:szCs w:val="20"/>
        </w:rPr>
        <w:t>À</w:t>
      </w:r>
      <w:r w:rsidR="00C93C60" w:rsidRPr="005950A0">
        <w:rPr>
          <w:sz w:val="20"/>
          <w:szCs w:val="20"/>
        </w:rPr>
        <w:t xml:space="preserve"> la suite de la phase d’instruction, le projet est noté à l’aune des critères de sélection précisés ci-dessus et examiné par les services déconcentrés</w:t>
      </w:r>
      <w:r w:rsidR="006C47FC">
        <w:rPr>
          <w:sz w:val="20"/>
          <w:szCs w:val="20"/>
        </w:rPr>
        <w:t xml:space="preserve"> </w:t>
      </w:r>
      <w:r w:rsidR="006C47FC" w:rsidRPr="006C47FC">
        <w:rPr>
          <w:sz w:val="20"/>
          <w:szCs w:val="20"/>
        </w:rPr>
        <w:t>(SGAR, DREETS et DDETS/PP). Les dossiers retenus seront notifiés au plus tard en date du 30 janvier 202</w:t>
      </w:r>
      <w:r w:rsidR="009A5967">
        <w:rPr>
          <w:sz w:val="20"/>
          <w:szCs w:val="20"/>
        </w:rPr>
        <w:t>5</w:t>
      </w:r>
      <w:r w:rsidR="006C47FC" w:rsidRPr="006C47FC">
        <w:rPr>
          <w:sz w:val="20"/>
          <w:szCs w:val="20"/>
        </w:rPr>
        <w:t>.</w:t>
      </w:r>
    </w:p>
    <w:sectPr w:rsidR="005651BC" w:rsidRPr="005950A0" w:rsidSect="0038700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48AD" w14:textId="77777777" w:rsidR="00D13FB1" w:rsidRDefault="00D13FB1" w:rsidP="005F6D55">
      <w:pPr>
        <w:spacing w:after="0" w:line="240" w:lineRule="auto"/>
      </w:pPr>
      <w:r>
        <w:separator/>
      </w:r>
    </w:p>
  </w:endnote>
  <w:endnote w:type="continuationSeparator" w:id="0">
    <w:p w14:paraId="08A3C59E" w14:textId="77777777" w:rsidR="00D13FB1" w:rsidRDefault="00D13FB1" w:rsidP="005F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813378"/>
      <w:docPartObj>
        <w:docPartGallery w:val="Page Numbers (Bottom of Page)"/>
        <w:docPartUnique/>
      </w:docPartObj>
    </w:sdtPr>
    <w:sdtEndPr/>
    <w:sdtContent>
      <w:p w14:paraId="358C4118" w14:textId="0408FAEA" w:rsidR="005208FB" w:rsidRDefault="005208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694">
          <w:rPr>
            <w:noProof/>
          </w:rPr>
          <w:t>3</w:t>
        </w:r>
        <w:r>
          <w:fldChar w:fldCharType="end"/>
        </w:r>
      </w:p>
    </w:sdtContent>
  </w:sdt>
  <w:p w14:paraId="08201D7F" w14:textId="77777777" w:rsidR="005208FB" w:rsidRDefault="005208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24E6" w14:textId="77777777" w:rsidR="00D13FB1" w:rsidRDefault="00D13FB1" w:rsidP="005F6D55">
      <w:pPr>
        <w:spacing w:after="0" w:line="240" w:lineRule="auto"/>
      </w:pPr>
      <w:r>
        <w:separator/>
      </w:r>
    </w:p>
  </w:footnote>
  <w:footnote w:type="continuationSeparator" w:id="0">
    <w:p w14:paraId="545A3354" w14:textId="77777777" w:rsidR="00D13FB1" w:rsidRDefault="00D13FB1" w:rsidP="005F6D55">
      <w:pPr>
        <w:spacing w:after="0" w:line="240" w:lineRule="auto"/>
      </w:pPr>
      <w:r>
        <w:continuationSeparator/>
      </w:r>
    </w:p>
  </w:footnote>
  <w:footnote w:id="1">
    <w:p w14:paraId="48C59381" w14:textId="5944BD46" w:rsidR="00742A20" w:rsidRDefault="00742A20" w:rsidP="004A4217">
      <w:pPr>
        <w:tabs>
          <w:tab w:val="left" w:pos="12255"/>
        </w:tabs>
        <w:suppressAutoHyphens/>
        <w:spacing w:after="0" w:line="100" w:lineRule="atLeast"/>
      </w:pPr>
      <w:r>
        <w:rPr>
          <w:rStyle w:val="Appelnotedebasdep"/>
        </w:rPr>
        <w:footnoteRef/>
      </w:r>
      <w:r>
        <w:t xml:space="preserve"> </w:t>
      </w:r>
      <w:r w:rsidRPr="00C532FE">
        <w:rPr>
          <w:szCs w:val="18"/>
        </w:rPr>
        <w:t>Règlement (UE)</w:t>
      </w:r>
      <w:r w:rsidRPr="00C532FE">
        <w:rPr>
          <w:rFonts w:eastAsia="Times New Roman" w:cstheme="minorHAnsi"/>
          <w:bCs/>
          <w:szCs w:val="18"/>
          <w:lang w:eastAsia="fr-FR"/>
        </w:rPr>
        <w:t xml:space="preserve"> </w:t>
      </w:r>
      <w:r w:rsidR="00EE23FF" w:rsidRPr="00C532FE">
        <w:rPr>
          <w:rFonts w:eastAsia="Times New Roman" w:cstheme="minorHAnsi"/>
          <w:bCs/>
          <w:szCs w:val="18"/>
          <w:lang w:eastAsia="fr-FR"/>
        </w:rPr>
        <w:t>n°</w:t>
      </w:r>
      <w:r w:rsidRPr="00C532FE">
        <w:rPr>
          <w:rFonts w:eastAsia="Times New Roman" w:cstheme="minorHAnsi"/>
          <w:bCs/>
          <w:szCs w:val="18"/>
          <w:lang w:eastAsia="fr-FR"/>
        </w:rPr>
        <w:t>2021/114</w:t>
      </w:r>
      <w:r w:rsidR="00724454" w:rsidRPr="00C532FE">
        <w:rPr>
          <w:rFonts w:eastAsia="Times New Roman" w:cstheme="minorHAnsi"/>
          <w:bCs/>
          <w:szCs w:val="18"/>
          <w:lang w:eastAsia="fr-FR"/>
        </w:rPr>
        <w:t>7</w:t>
      </w:r>
      <w:r w:rsidRPr="00C532FE">
        <w:rPr>
          <w:rFonts w:eastAsia="Times New Roman" w:cstheme="minorHAnsi"/>
          <w:bCs/>
          <w:szCs w:val="18"/>
          <w:lang w:eastAsia="fr-FR"/>
        </w:rPr>
        <w:t xml:space="preserve"> </w:t>
      </w:r>
      <w:r w:rsidR="00EE23FF" w:rsidRPr="00C532FE">
        <w:rPr>
          <w:rFonts w:eastAsia="Times New Roman" w:cstheme="minorHAnsi"/>
          <w:bCs/>
          <w:szCs w:val="18"/>
          <w:lang w:eastAsia="fr-FR"/>
        </w:rPr>
        <w:t xml:space="preserve">du Parlement et du Conseil du 7 juillet 2021 </w:t>
      </w:r>
      <w:r w:rsidRPr="00C532FE">
        <w:rPr>
          <w:rFonts w:eastAsia="Times New Roman" w:cstheme="minorHAnsi"/>
          <w:bCs/>
          <w:szCs w:val="18"/>
          <w:lang w:eastAsia="fr-FR"/>
        </w:rPr>
        <w:t>établissant le Fonds «</w:t>
      </w:r>
      <w:r w:rsidRPr="00C532FE">
        <w:rPr>
          <w:rFonts w:ascii="Calibri" w:eastAsia="Times New Roman" w:hAnsi="Calibri" w:cs="Calibri"/>
          <w:bCs/>
          <w:szCs w:val="18"/>
          <w:lang w:eastAsia="fr-FR"/>
        </w:rPr>
        <w:t> </w:t>
      </w:r>
      <w:r w:rsidRPr="00C532FE">
        <w:rPr>
          <w:rFonts w:eastAsia="Times New Roman" w:cstheme="minorHAnsi"/>
          <w:bCs/>
          <w:szCs w:val="18"/>
          <w:lang w:eastAsia="fr-FR"/>
        </w:rPr>
        <w:t>Asile migration et intégration</w:t>
      </w:r>
      <w:r w:rsidRPr="00C532FE">
        <w:rPr>
          <w:rFonts w:ascii="Calibri" w:eastAsia="Times New Roman" w:hAnsi="Calibri" w:cs="Calibri"/>
          <w:bCs/>
          <w:szCs w:val="18"/>
          <w:lang w:eastAsia="fr-FR"/>
        </w:rPr>
        <w:t> </w:t>
      </w:r>
      <w:r w:rsidRPr="00C532FE">
        <w:rPr>
          <w:rFonts w:eastAsia="Times New Roman" w:cs="Marianne"/>
          <w:bCs/>
          <w:szCs w:val="18"/>
          <w:lang w:eastAsia="fr-FR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18B3" w14:textId="5521931F" w:rsidR="005F6D55" w:rsidRDefault="006C47FC" w:rsidP="005F6D55">
    <w:pPr>
      <w:pStyle w:val="En-tte"/>
    </w:pPr>
    <w:r>
      <w:rPr>
        <w:noProof/>
        <w:lang w:eastAsia="fr-FR"/>
      </w:rPr>
      <w:drawing>
        <wp:anchor distT="0" distB="0" distL="0" distR="0" simplePos="0" relativeHeight="251665408" behindDoc="1" locked="0" layoutInCell="1" allowOverlap="1" wp14:anchorId="40D48BDE" wp14:editId="0E032F78">
          <wp:simplePos x="0" y="0"/>
          <wp:positionH relativeFrom="column">
            <wp:posOffset>-642620</wp:posOffset>
          </wp:positionH>
          <wp:positionV relativeFrom="paragraph">
            <wp:posOffset>-344805</wp:posOffset>
          </wp:positionV>
          <wp:extent cx="1749425" cy="1485265"/>
          <wp:effectExtent l="0" t="0" r="3175" b="635"/>
          <wp:wrapNone/>
          <wp:docPr id="2" name="image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485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283" w:rsidRPr="00A70DBC">
      <w:rPr>
        <w:noProof/>
        <w:szCs w:val="18"/>
        <w:highlight w:val="yellow"/>
        <w:lang w:eastAsia="fr-FR"/>
      </w:rPr>
      <w:drawing>
        <wp:anchor distT="0" distB="0" distL="114300" distR="114300" simplePos="0" relativeHeight="251663360" behindDoc="0" locked="0" layoutInCell="1" allowOverlap="1" wp14:anchorId="5FCA40A5" wp14:editId="301C6498">
          <wp:simplePos x="0" y="0"/>
          <wp:positionH relativeFrom="margin">
            <wp:posOffset>4886325</wp:posOffset>
          </wp:positionH>
          <wp:positionV relativeFrom="paragraph">
            <wp:posOffset>-317500</wp:posOffset>
          </wp:positionV>
          <wp:extent cx="791845" cy="802640"/>
          <wp:effectExtent l="0" t="0" r="8255" b="0"/>
          <wp:wrapSquare wrapText="bothSides"/>
          <wp:docPr id="5" name="Image 5" descr="C:\Users\WILTSH~1\AppData\Local\Temp\FR V Finance par l%u2019Union europé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ILTSH~1\AppData\Local\Temp\FR V Finance par l%u2019Union européenne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24193" w14:textId="77777777" w:rsidR="005F6D55" w:rsidRDefault="005F6D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C53"/>
    <w:multiLevelType w:val="hybridMultilevel"/>
    <w:tmpl w:val="24F2E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344C"/>
    <w:multiLevelType w:val="hybridMultilevel"/>
    <w:tmpl w:val="22600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7D1A"/>
    <w:multiLevelType w:val="hybridMultilevel"/>
    <w:tmpl w:val="11182C64"/>
    <w:lvl w:ilvl="0" w:tplc="8670F920">
      <w:start w:val="1"/>
      <w:numFmt w:val="decimal"/>
      <w:lvlText w:val="%1)"/>
      <w:lvlJc w:val="left"/>
      <w:pPr>
        <w:ind w:left="720" w:hanging="360"/>
      </w:pPr>
      <w:rPr>
        <w:rFonts w:ascii="Marianne" w:eastAsia="Arial Unicode MS" w:hAnsi="Marianne" w:cs="Times New Roman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2CE3"/>
    <w:multiLevelType w:val="hybridMultilevel"/>
    <w:tmpl w:val="61847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362"/>
    <w:multiLevelType w:val="hybridMultilevel"/>
    <w:tmpl w:val="808C0678"/>
    <w:lvl w:ilvl="0" w:tplc="B44ECB66">
      <w:start w:val="3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D44136E"/>
    <w:multiLevelType w:val="hybridMultilevel"/>
    <w:tmpl w:val="D0F27C36"/>
    <w:lvl w:ilvl="0" w:tplc="0A7EC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2E66"/>
    <w:multiLevelType w:val="hybridMultilevel"/>
    <w:tmpl w:val="31CCD85E"/>
    <w:lvl w:ilvl="0" w:tplc="04AA5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3301"/>
    <w:multiLevelType w:val="hybridMultilevel"/>
    <w:tmpl w:val="CA84A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572"/>
    <w:multiLevelType w:val="hybridMultilevel"/>
    <w:tmpl w:val="11182C64"/>
    <w:lvl w:ilvl="0" w:tplc="8670F920">
      <w:start w:val="1"/>
      <w:numFmt w:val="decimal"/>
      <w:lvlText w:val="%1)"/>
      <w:lvlJc w:val="left"/>
      <w:pPr>
        <w:ind w:left="720" w:hanging="360"/>
      </w:pPr>
      <w:rPr>
        <w:rFonts w:ascii="Marianne" w:eastAsia="Arial Unicode MS" w:hAnsi="Marianne" w:cs="Times New Roman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00F52"/>
    <w:multiLevelType w:val="hybridMultilevel"/>
    <w:tmpl w:val="4510DE3E"/>
    <w:lvl w:ilvl="0" w:tplc="8C74A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F0B38"/>
    <w:multiLevelType w:val="hybridMultilevel"/>
    <w:tmpl w:val="B8C4A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F6D39"/>
    <w:multiLevelType w:val="hybridMultilevel"/>
    <w:tmpl w:val="FC68E54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62A2E4E"/>
    <w:multiLevelType w:val="hybridMultilevel"/>
    <w:tmpl w:val="9B769A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AA59F5"/>
    <w:multiLevelType w:val="hybridMultilevel"/>
    <w:tmpl w:val="C5D05A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4F18E4"/>
    <w:multiLevelType w:val="hybridMultilevel"/>
    <w:tmpl w:val="144E5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F675B"/>
    <w:multiLevelType w:val="hybridMultilevel"/>
    <w:tmpl w:val="D7A2F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79276">
    <w:abstractNumId w:val="7"/>
  </w:num>
  <w:num w:numId="2" w16cid:durableId="1305350302">
    <w:abstractNumId w:val="5"/>
  </w:num>
  <w:num w:numId="3" w16cid:durableId="880020063">
    <w:abstractNumId w:val="9"/>
  </w:num>
  <w:num w:numId="4" w16cid:durableId="43994318">
    <w:abstractNumId w:val="1"/>
  </w:num>
  <w:num w:numId="5" w16cid:durableId="1337154477">
    <w:abstractNumId w:val="4"/>
  </w:num>
  <w:num w:numId="6" w16cid:durableId="389816237">
    <w:abstractNumId w:val="11"/>
  </w:num>
  <w:num w:numId="7" w16cid:durableId="374283287">
    <w:abstractNumId w:val="3"/>
  </w:num>
  <w:num w:numId="8" w16cid:durableId="1291590661">
    <w:abstractNumId w:val="15"/>
  </w:num>
  <w:num w:numId="9" w16cid:durableId="1950775585">
    <w:abstractNumId w:val="10"/>
  </w:num>
  <w:num w:numId="10" w16cid:durableId="185682896">
    <w:abstractNumId w:val="0"/>
  </w:num>
  <w:num w:numId="11" w16cid:durableId="1079905468">
    <w:abstractNumId w:val="6"/>
  </w:num>
  <w:num w:numId="12" w16cid:durableId="1880434531">
    <w:abstractNumId w:val="14"/>
  </w:num>
  <w:num w:numId="13" w16cid:durableId="2021469482">
    <w:abstractNumId w:val="12"/>
  </w:num>
  <w:num w:numId="14" w16cid:durableId="1139108538">
    <w:abstractNumId w:val="13"/>
  </w:num>
  <w:num w:numId="15" w16cid:durableId="982932494">
    <w:abstractNumId w:val="2"/>
  </w:num>
  <w:num w:numId="16" w16cid:durableId="510146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70"/>
    <w:rsid w:val="00000E93"/>
    <w:rsid w:val="00005B31"/>
    <w:rsid w:val="000123C0"/>
    <w:rsid w:val="00014283"/>
    <w:rsid w:val="00034789"/>
    <w:rsid w:val="00040845"/>
    <w:rsid w:val="00051C48"/>
    <w:rsid w:val="00076907"/>
    <w:rsid w:val="000B04A3"/>
    <w:rsid w:val="000B3694"/>
    <w:rsid w:val="000D2C07"/>
    <w:rsid w:val="00182D01"/>
    <w:rsid w:val="001867F1"/>
    <w:rsid w:val="0020527C"/>
    <w:rsid w:val="00215B42"/>
    <w:rsid w:val="002341AA"/>
    <w:rsid w:val="002C741D"/>
    <w:rsid w:val="002F3069"/>
    <w:rsid w:val="003030AC"/>
    <w:rsid w:val="0036259B"/>
    <w:rsid w:val="00366C50"/>
    <w:rsid w:val="003828ED"/>
    <w:rsid w:val="0038700A"/>
    <w:rsid w:val="003A4DE0"/>
    <w:rsid w:val="003E0392"/>
    <w:rsid w:val="00407F93"/>
    <w:rsid w:val="004105F5"/>
    <w:rsid w:val="00456A03"/>
    <w:rsid w:val="00463CE8"/>
    <w:rsid w:val="004A4217"/>
    <w:rsid w:val="004F0340"/>
    <w:rsid w:val="00507C3E"/>
    <w:rsid w:val="005208FB"/>
    <w:rsid w:val="00537E85"/>
    <w:rsid w:val="00555BC3"/>
    <w:rsid w:val="005651BC"/>
    <w:rsid w:val="0056571C"/>
    <w:rsid w:val="005950A0"/>
    <w:rsid w:val="005A53F7"/>
    <w:rsid w:val="005B2A6A"/>
    <w:rsid w:val="005C6637"/>
    <w:rsid w:val="005D7B9E"/>
    <w:rsid w:val="005F5DBC"/>
    <w:rsid w:val="005F6D55"/>
    <w:rsid w:val="006071D1"/>
    <w:rsid w:val="00610B6C"/>
    <w:rsid w:val="00621C45"/>
    <w:rsid w:val="0064251F"/>
    <w:rsid w:val="00690F8A"/>
    <w:rsid w:val="006C47FC"/>
    <w:rsid w:val="006D66F7"/>
    <w:rsid w:val="0071162C"/>
    <w:rsid w:val="00724454"/>
    <w:rsid w:val="00742A20"/>
    <w:rsid w:val="00756A98"/>
    <w:rsid w:val="00795839"/>
    <w:rsid w:val="007C10C2"/>
    <w:rsid w:val="007C4750"/>
    <w:rsid w:val="007C4D74"/>
    <w:rsid w:val="007E3EDE"/>
    <w:rsid w:val="007E5512"/>
    <w:rsid w:val="007E69ED"/>
    <w:rsid w:val="0088167D"/>
    <w:rsid w:val="0089259B"/>
    <w:rsid w:val="008A6FB9"/>
    <w:rsid w:val="008A7832"/>
    <w:rsid w:val="008D3964"/>
    <w:rsid w:val="008F0EE6"/>
    <w:rsid w:val="00924538"/>
    <w:rsid w:val="00950D04"/>
    <w:rsid w:val="00966B6D"/>
    <w:rsid w:val="00977C97"/>
    <w:rsid w:val="009A5967"/>
    <w:rsid w:val="009F28D7"/>
    <w:rsid w:val="00A244A9"/>
    <w:rsid w:val="00A3408E"/>
    <w:rsid w:val="00A609FE"/>
    <w:rsid w:val="00A70DBC"/>
    <w:rsid w:val="00AD77EE"/>
    <w:rsid w:val="00AF1D40"/>
    <w:rsid w:val="00AF232C"/>
    <w:rsid w:val="00B3545A"/>
    <w:rsid w:val="00B5396D"/>
    <w:rsid w:val="00B54B00"/>
    <w:rsid w:val="00BA0A4C"/>
    <w:rsid w:val="00BB0FB8"/>
    <w:rsid w:val="00BC2999"/>
    <w:rsid w:val="00BD3E8F"/>
    <w:rsid w:val="00C20825"/>
    <w:rsid w:val="00C24C10"/>
    <w:rsid w:val="00C371B1"/>
    <w:rsid w:val="00C43500"/>
    <w:rsid w:val="00C532FE"/>
    <w:rsid w:val="00C81076"/>
    <w:rsid w:val="00C93C60"/>
    <w:rsid w:val="00C971D5"/>
    <w:rsid w:val="00CC3DAD"/>
    <w:rsid w:val="00CD094D"/>
    <w:rsid w:val="00CE3A32"/>
    <w:rsid w:val="00D13FB1"/>
    <w:rsid w:val="00D86F1F"/>
    <w:rsid w:val="00DA7CC2"/>
    <w:rsid w:val="00DE3570"/>
    <w:rsid w:val="00E46D9F"/>
    <w:rsid w:val="00E47BAD"/>
    <w:rsid w:val="00E50BDE"/>
    <w:rsid w:val="00E727F7"/>
    <w:rsid w:val="00E77230"/>
    <w:rsid w:val="00EE23FF"/>
    <w:rsid w:val="00F23E3B"/>
    <w:rsid w:val="00F72337"/>
    <w:rsid w:val="00F81CE9"/>
    <w:rsid w:val="00FA5D12"/>
    <w:rsid w:val="00FB47B6"/>
    <w:rsid w:val="00FD7272"/>
    <w:rsid w:val="00FD7ACA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7EC6B1"/>
  <w15:chartTrackingRefBased/>
  <w15:docId w15:val="{12BC5DB0-8FB7-46EC-ACE1-CB42F60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55"/>
    <w:pPr>
      <w:jc w:val="both"/>
    </w:pPr>
    <w:rPr>
      <w:rFonts w:ascii="Marianne" w:hAnsi="Marianne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D55"/>
    <w:rPr>
      <w:rFonts w:ascii="Marianne" w:hAnsi="Marianne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5F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D55"/>
    <w:rPr>
      <w:rFonts w:ascii="Marianne" w:hAnsi="Marianne"/>
      <w:sz w:val="18"/>
    </w:rPr>
  </w:style>
  <w:style w:type="table" w:styleId="Grilledutableau">
    <w:name w:val="Table Grid"/>
    <w:basedOn w:val="TableauNormal"/>
    <w:uiPriority w:val="39"/>
    <w:rsid w:val="005F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2,texte de base,damien 3,Normal bullet 2,Bullet 1,Paragraphe de liste2,Puce focus,Contact,Listes,Paragraphe de liste1,Liste à puce - SC,Paragraphe de liste11,Paragraphe de liste num,Paragraphe 2"/>
    <w:basedOn w:val="Normal"/>
    <w:link w:val="ParagraphedelisteCar"/>
    <w:uiPriority w:val="34"/>
    <w:qFormat/>
    <w:rsid w:val="003870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0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00A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55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5512"/>
    <w:rPr>
      <w:rFonts w:ascii="Marianne" w:hAnsi="Mariann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551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E551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46D9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46D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46D9F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6D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6D9F"/>
    <w:rPr>
      <w:rFonts w:ascii="Marianne" w:hAnsi="Marianne"/>
      <w:b/>
      <w:bCs/>
      <w:sz w:val="20"/>
      <w:szCs w:val="20"/>
    </w:rPr>
  </w:style>
  <w:style w:type="character" w:customStyle="1" w:styleId="ParagraphedelisteCar">
    <w:name w:val="Paragraphe de liste Car"/>
    <w:aliases w:val="Paragraphe de liste 2 Car,texte de base Car,damien 3 Car,Normal bullet 2 Car,Bullet 1 Car,Paragraphe de liste2 Car,Puce focus Car,Contact Car,Listes Car,Paragraphe de liste1 Car,Liste à puce - SC Car,Paragraphe de liste11 Car"/>
    <w:link w:val="Paragraphedeliste"/>
    <w:uiPriority w:val="34"/>
    <w:qFormat/>
    <w:rsid w:val="00D86F1F"/>
    <w:rPr>
      <w:rFonts w:ascii="Marianne" w:hAnsi="Marianne"/>
      <w:sz w:val="18"/>
    </w:rPr>
  </w:style>
  <w:style w:type="paragraph" w:styleId="Rvision">
    <w:name w:val="Revision"/>
    <w:hidden/>
    <w:uiPriority w:val="99"/>
    <w:semiHidden/>
    <w:rsid w:val="00742A20"/>
    <w:pPr>
      <w:spacing w:after="0" w:line="240" w:lineRule="auto"/>
    </w:pPr>
    <w:rPr>
      <w:rFonts w:ascii="Marianne" w:hAnsi="Marianne"/>
      <w:sz w:val="18"/>
    </w:rPr>
  </w:style>
  <w:style w:type="paragraph" w:customStyle="1" w:styleId="Standard">
    <w:name w:val="Standard"/>
    <w:rsid w:val="005651BC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ets-bfc.iss@dreets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65D0-CA4F-4457-B55A-96DF8B23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1547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WILTSHIRE Audrey</dc:creator>
  <cp:keywords/>
  <dc:description/>
  <cp:lastModifiedBy>ARNAUD, Fanny (DREETS-BFC)</cp:lastModifiedBy>
  <cp:revision>17</cp:revision>
  <cp:lastPrinted>2024-03-14T08:40:00Z</cp:lastPrinted>
  <dcterms:created xsi:type="dcterms:W3CDTF">2024-02-15T17:36:00Z</dcterms:created>
  <dcterms:modified xsi:type="dcterms:W3CDTF">2024-12-19T08:21:00Z</dcterms:modified>
</cp:coreProperties>
</file>