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9C06" w14:textId="3832D1A6" w:rsidR="008720D5" w:rsidRPr="002C013A" w:rsidRDefault="008720D5" w:rsidP="002C013A">
      <w:pPr>
        <w:jc w:val="center"/>
        <w:rPr>
          <w:rFonts w:ascii="Marianne" w:hAnsi="Marianne" w:cs="Arial"/>
          <w:b/>
          <w:color w:val="FFFF00"/>
          <w:sz w:val="20"/>
        </w:rPr>
      </w:pPr>
      <w:r w:rsidRPr="00D3669F">
        <w:rPr>
          <w:rFonts w:ascii="Marianne" w:hAnsi="Marianne" w:cs="Arial"/>
          <w:b/>
          <w:sz w:val="20"/>
        </w:rPr>
        <w:t xml:space="preserve">ANNEXE </w:t>
      </w:r>
      <w:r>
        <w:rPr>
          <w:rFonts w:ascii="Marianne" w:hAnsi="Marianne" w:cs="Arial"/>
          <w:b/>
          <w:sz w:val="20"/>
        </w:rPr>
        <w:t>2</w:t>
      </w:r>
    </w:p>
    <w:p w14:paraId="6639620D" w14:textId="77777777" w:rsidR="008720D5" w:rsidRPr="00D3669F" w:rsidRDefault="008720D5" w:rsidP="008720D5">
      <w:pPr>
        <w:jc w:val="center"/>
        <w:rPr>
          <w:rFonts w:ascii="Marianne" w:hAnsi="Marianne" w:cs="Arial"/>
          <w:b/>
          <w:sz w:val="20"/>
        </w:rPr>
      </w:pPr>
      <w:r w:rsidRPr="00D3669F">
        <w:rPr>
          <w:rFonts w:ascii="Marianne" w:hAnsi="Marianne" w:cs="Arial"/>
          <w:b/>
          <w:sz w:val="20"/>
        </w:rPr>
        <w:t>MODALITÉS DE L’ÉVALUATION ET INDICATEURS</w:t>
      </w:r>
    </w:p>
    <w:p w14:paraId="42737EB0" w14:textId="77777777" w:rsidR="008720D5" w:rsidRPr="00D3669F" w:rsidRDefault="008720D5" w:rsidP="008720D5">
      <w:pPr>
        <w:pStyle w:val="Corpsdetexte2"/>
        <w:rPr>
          <w:rFonts w:ascii="Marianne" w:hAnsi="Marianne" w:cs="Arial"/>
          <w:color w:val="FF0000"/>
          <w:sz w:val="20"/>
        </w:rPr>
      </w:pPr>
      <w:r w:rsidRPr="00D3669F">
        <w:rPr>
          <w:rFonts w:ascii="Marianne" w:hAnsi="Marianne" w:cs="Arial"/>
          <w:color w:val="FF0000"/>
          <w:sz w:val="20"/>
        </w:rPr>
        <w:t>Le choix des indicateurs s’effectue par rapport au périmètre de l’action</w:t>
      </w:r>
    </w:p>
    <w:p w14:paraId="63D00A57" w14:textId="77777777" w:rsidR="008720D5" w:rsidRPr="00D3669F" w:rsidRDefault="008720D5" w:rsidP="008720D5">
      <w:pPr>
        <w:pStyle w:val="Corpsdetexte2"/>
        <w:rPr>
          <w:rFonts w:ascii="Marianne" w:hAnsi="Marianne" w:cs="Arial"/>
          <w:b/>
          <w:bCs/>
          <w:sz w:val="20"/>
        </w:rPr>
      </w:pPr>
      <w:r w:rsidRPr="00D3669F">
        <w:rPr>
          <w:rFonts w:ascii="Marianne" w:hAnsi="Marianne" w:cs="Arial"/>
          <w:b/>
          <w:bCs/>
          <w:sz w:val="20"/>
        </w:rPr>
        <w:t>Conditions de l’évaluation :</w:t>
      </w:r>
    </w:p>
    <w:p w14:paraId="21ECD23B" w14:textId="77777777" w:rsidR="002C013A" w:rsidRDefault="008720D5" w:rsidP="00CA49C7">
      <w:pPr>
        <w:tabs>
          <w:tab w:val="left" w:pos="7655"/>
          <w:tab w:val="left" w:pos="7797"/>
        </w:tabs>
        <w:ind w:right="-1"/>
        <w:jc w:val="both"/>
        <w:rPr>
          <w:rFonts w:ascii="Marianne" w:hAnsi="Marianne" w:cs="Arial"/>
          <w:sz w:val="20"/>
        </w:rPr>
      </w:pPr>
      <w:r w:rsidRPr="00D3669F">
        <w:rPr>
          <w:rFonts w:ascii="Marianne" w:hAnsi="Marianne" w:cs="Arial"/>
          <w:sz w:val="20"/>
        </w:rPr>
        <w:t xml:space="preserve">Le compte rendu financier visé à l’article 5 est accompagné d’un compte rendu quantitatif et qualitatif des actions comprenant les éléments </w:t>
      </w:r>
      <w:proofErr w:type="gramStart"/>
      <w:r w:rsidRPr="00D3669F">
        <w:rPr>
          <w:rFonts w:ascii="Marianne" w:hAnsi="Marianne" w:cs="Arial"/>
          <w:sz w:val="20"/>
        </w:rPr>
        <w:t>a</w:t>
      </w:r>
      <w:proofErr w:type="gramEnd"/>
      <w:r w:rsidRPr="00D3669F">
        <w:rPr>
          <w:rFonts w:ascii="Marianne" w:hAnsi="Marianne" w:cs="Arial"/>
          <w:sz w:val="20"/>
        </w:rPr>
        <w:t xml:space="preserve"> minima mentionnés ci-dessous. Ce bilan d’ensemble qualitatif et quantitatif est communiqué par l</w:t>
      </w:r>
      <w:r>
        <w:rPr>
          <w:rFonts w:ascii="Marianne" w:hAnsi="Marianne" w:cs="Arial"/>
          <w:sz w:val="20"/>
        </w:rPr>
        <w:t>e bénéficiaire</w:t>
      </w:r>
      <w:r w:rsidRPr="00D3669F">
        <w:rPr>
          <w:rFonts w:ascii="Marianne" w:hAnsi="Marianne" w:cs="Arial"/>
          <w:sz w:val="20"/>
        </w:rPr>
        <w:t xml:space="preserve"> au plus tard </w:t>
      </w:r>
      <w:r>
        <w:rPr>
          <w:rFonts w:ascii="Marianne" w:hAnsi="Marianne" w:cs="Arial"/>
          <w:sz w:val="20"/>
        </w:rPr>
        <w:t>trois</w:t>
      </w:r>
      <w:r w:rsidRPr="00D3669F">
        <w:rPr>
          <w:rFonts w:ascii="Marianne" w:hAnsi="Marianne" w:cs="Arial"/>
          <w:sz w:val="20"/>
        </w:rPr>
        <w:t xml:space="preserve"> mois après le terme de la convention.</w:t>
      </w:r>
    </w:p>
    <w:p w14:paraId="2D314696" w14:textId="10A19564" w:rsidR="00BB7DE1" w:rsidRPr="00CA49C7" w:rsidRDefault="008720D5" w:rsidP="00CA49C7">
      <w:pPr>
        <w:tabs>
          <w:tab w:val="left" w:pos="7655"/>
          <w:tab w:val="left" w:pos="7797"/>
        </w:tabs>
        <w:ind w:right="-1"/>
        <w:jc w:val="both"/>
        <w:rPr>
          <w:rFonts w:ascii="Marianne" w:hAnsi="Marianne" w:cs="Arial"/>
          <w:sz w:val="20"/>
        </w:rPr>
      </w:pPr>
      <w:r w:rsidRPr="00D3669F">
        <w:rPr>
          <w:rFonts w:ascii="Marianne" w:hAnsi="Marianne" w:cs="Arial"/>
          <w:sz w:val="20"/>
        </w:rPr>
        <w:t xml:space="preserve"> </w:t>
      </w:r>
    </w:p>
    <w:tbl>
      <w:tblPr>
        <w:tblW w:w="9990" w:type="dxa"/>
        <w:tblInd w:w="-49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1560"/>
        <w:gridCol w:w="1134"/>
        <w:gridCol w:w="3260"/>
        <w:gridCol w:w="2410"/>
      </w:tblGrid>
      <w:tr w:rsidR="00BB7DE1" w:rsidRPr="00BB7DE1" w14:paraId="4FA286D2" w14:textId="77777777" w:rsidTr="00991A3F">
        <w:trPr>
          <w:trHeight w:val="593"/>
          <w:tblHeader/>
        </w:trPr>
        <w:tc>
          <w:tcPr>
            <w:tcW w:w="1626" w:type="dxa"/>
            <w:shd w:val="clear" w:color="auto" w:fill="auto"/>
          </w:tcPr>
          <w:p w14:paraId="566DC58D" w14:textId="77777777" w:rsidR="00BB7DE1" w:rsidRPr="00BB7DE1" w:rsidRDefault="00BB7DE1" w:rsidP="00BB7DE1">
            <w:pPr>
              <w:rPr>
                <w:b/>
                <w:bCs/>
              </w:rPr>
            </w:pPr>
            <w:r w:rsidRPr="00BB7DE1">
              <w:rPr>
                <w:b/>
                <w:bCs/>
              </w:rPr>
              <w:t>Objectifs du cahier des charges de l’AAP</w:t>
            </w:r>
          </w:p>
        </w:tc>
        <w:tc>
          <w:tcPr>
            <w:tcW w:w="1560" w:type="dxa"/>
            <w:shd w:val="clear" w:color="auto" w:fill="auto"/>
          </w:tcPr>
          <w:p w14:paraId="4C40A2FD" w14:textId="77777777" w:rsidR="00BB7DE1" w:rsidRPr="00BB7DE1" w:rsidRDefault="00BB7DE1" w:rsidP="00BB7DE1">
            <w:pPr>
              <w:rPr>
                <w:b/>
                <w:bCs/>
              </w:rPr>
            </w:pPr>
            <w:r w:rsidRPr="00BB7DE1">
              <w:rPr>
                <w:b/>
                <w:bCs/>
              </w:rPr>
              <w:t>Intitulé de l’action</w:t>
            </w:r>
          </w:p>
        </w:tc>
        <w:tc>
          <w:tcPr>
            <w:tcW w:w="1134" w:type="dxa"/>
          </w:tcPr>
          <w:p w14:paraId="66B9ABE9" w14:textId="3571FC65" w:rsidR="00BB7DE1" w:rsidRPr="00BB7DE1" w:rsidRDefault="00BB7DE1" w:rsidP="00BB7DE1">
            <w:pPr>
              <w:rPr>
                <w:b/>
                <w:bCs/>
              </w:rPr>
            </w:pPr>
            <w:r w:rsidRPr="00BB7DE1">
              <w:rPr>
                <w:b/>
                <w:bCs/>
              </w:rPr>
              <w:t>Montant FIE IT 202</w:t>
            </w:r>
            <w:r w:rsidR="0050550D">
              <w:rPr>
                <w:b/>
                <w:bCs/>
              </w:rPr>
              <w:t>5</w:t>
            </w:r>
          </w:p>
        </w:tc>
        <w:tc>
          <w:tcPr>
            <w:tcW w:w="3260" w:type="dxa"/>
          </w:tcPr>
          <w:p w14:paraId="7C04E7FA" w14:textId="77777777" w:rsidR="00BB7DE1" w:rsidRPr="00BB7DE1" w:rsidRDefault="00BB7DE1" w:rsidP="00BB7DE1">
            <w:pPr>
              <w:rPr>
                <w:b/>
                <w:bCs/>
              </w:rPr>
            </w:pPr>
            <w:r w:rsidRPr="00BB7DE1">
              <w:rPr>
                <w:b/>
                <w:bCs/>
              </w:rPr>
              <w:t>Contenus</w:t>
            </w:r>
          </w:p>
        </w:tc>
        <w:tc>
          <w:tcPr>
            <w:tcW w:w="2410" w:type="dxa"/>
          </w:tcPr>
          <w:p w14:paraId="634455F5" w14:textId="77777777" w:rsidR="00BB7DE1" w:rsidRPr="00BB7DE1" w:rsidRDefault="00BB7DE1" w:rsidP="00BB7DE1">
            <w:pPr>
              <w:rPr>
                <w:b/>
                <w:bCs/>
              </w:rPr>
            </w:pPr>
            <w:r w:rsidRPr="00BB7DE1">
              <w:rPr>
                <w:b/>
                <w:bCs/>
              </w:rPr>
              <w:t>Indicateurs / Livrables</w:t>
            </w:r>
          </w:p>
        </w:tc>
      </w:tr>
      <w:tr w:rsidR="00BB7DE1" w:rsidRPr="00BB7DE1" w14:paraId="1A8DCF78" w14:textId="77777777" w:rsidTr="00991A3F">
        <w:trPr>
          <w:trHeight w:val="3332"/>
        </w:trPr>
        <w:tc>
          <w:tcPr>
            <w:tcW w:w="1626" w:type="dxa"/>
            <w:shd w:val="clear" w:color="auto" w:fill="auto"/>
          </w:tcPr>
          <w:p w14:paraId="0F9838DB" w14:textId="6361829E" w:rsidR="00BB7DE1" w:rsidRPr="00BB7DE1" w:rsidRDefault="0050550D" w:rsidP="00BB7DE1">
            <w:r w:rsidRPr="0050550D">
              <w:t>Objectif n°1 : Mobiliser les personnes éloignées de l'emploi</w:t>
            </w:r>
          </w:p>
        </w:tc>
        <w:tc>
          <w:tcPr>
            <w:tcW w:w="1560" w:type="dxa"/>
            <w:shd w:val="clear" w:color="auto" w:fill="auto"/>
          </w:tcPr>
          <w:p w14:paraId="5DC9ED98" w14:textId="63285ECC" w:rsidR="00BB7DE1" w:rsidRPr="00BB7DE1" w:rsidRDefault="00BB7DE1" w:rsidP="00BB7DE1"/>
        </w:tc>
        <w:tc>
          <w:tcPr>
            <w:tcW w:w="1134" w:type="dxa"/>
          </w:tcPr>
          <w:p w14:paraId="26ACB75D" w14:textId="02D1A407" w:rsidR="00BB7DE1" w:rsidRPr="00BB7DE1" w:rsidRDefault="00BB7DE1" w:rsidP="00BB7DE1"/>
        </w:tc>
        <w:tc>
          <w:tcPr>
            <w:tcW w:w="3260" w:type="dxa"/>
          </w:tcPr>
          <w:p w14:paraId="76B1FAFB" w14:textId="3F8E4D33" w:rsidR="00BB7DE1" w:rsidRPr="00BB7DE1" w:rsidRDefault="00BB7DE1" w:rsidP="00BB7DE1"/>
        </w:tc>
        <w:tc>
          <w:tcPr>
            <w:tcW w:w="2410" w:type="dxa"/>
          </w:tcPr>
          <w:p w14:paraId="24F67382" w14:textId="77777777" w:rsidR="00BB7DE1" w:rsidRPr="00BB7DE1" w:rsidRDefault="00BB7DE1" w:rsidP="00BB7DE1"/>
          <w:p w14:paraId="1DBA13AD" w14:textId="77777777" w:rsidR="00BB7DE1" w:rsidRPr="00BB7DE1" w:rsidRDefault="00BB7DE1" w:rsidP="00BB7DE1"/>
          <w:p w14:paraId="06919856" w14:textId="77777777" w:rsidR="00BB7DE1" w:rsidRPr="00BB7DE1" w:rsidRDefault="00BB7DE1" w:rsidP="00BB7DE1"/>
        </w:tc>
      </w:tr>
      <w:tr w:rsidR="00BB7DE1" w:rsidRPr="00BB7DE1" w14:paraId="4511EC34" w14:textId="77777777" w:rsidTr="00991A3F">
        <w:trPr>
          <w:trHeight w:val="3332"/>
        </w:trPr>
        <w:tc>
          <w:tcPr>
            <w:tcW w:w="1626" w:type="dxa"/>
            <w:shd w:val="clear" w:color="auto" w:fill="auto"/>
            <w:hideMark/>
          </w:tcPr>
          <w:p w14:paraId="4D5CF939" w14:textId="67292EE5" w:rsidR="00BB7DE1" w:rsidRPr="00BB7DE1" w:rsidRDefault="0050550D" w:rsidP="00BB7DE1">
            <w:r w:rsidRPr="0050550D">
              <w:t>Objectif n°2 : Valoriser l'accompagnement des salariés en insertion par la levée des freins et l’accès à la formation</w:t>
            </w:r>
          </w:p>
        </w:tc>
        <w:tc>
          <w:tcPr>
            <w:tcW w:w="1560" w:type="dxa"/>
            <w:shd w:val="clear" w:color="auto" w:fill="auto"/>
            <w:hideMark/>
          </w:tcPr>
          <w:p w14:paraId="02D1D641" w14:textId="55957EA5" w:rsidR="00BB7DE1" w:rsidRPr="00BB7DE1" w:rsidRDefault="00BB7DE1" w:rsidP="00BB7DE1"/>
        </w:tc>
        <w:tc>
          <w:tcPr>
            <w:tcW w:w="1134" w:type="dxa"/>
          </w:tcPr>
          <w:p w14:paraId="47152739" w14:textId="51348142" w:rsidR="00BB7DE1" w:rsidRPr="00BB7DE1" w:rsidRDefault="00BB7DE1" w:rsidP="00BB7DE1"/>
        </w:tc>
        <w:tc>
          <w:tcPr>
            <w:tcW w:w="3260" w:type="dxa"/>
          </w:tcPr>
          <w:p w14:paraId="3C4E7C75" w14:textId="664FA8C0" w:rsidR="00BB7DE1" w:rsidRPr="00BB7DE1" w:rsidRDefault="00BB7DE1" w:rsidP="00BB7DE1"/>
        </w:tc>
        <w:tc>
          <w:tcPr>
            <w:tcW w:w="2410" w:type="dxa"/>
          </w:tcPr>
          <w:p w14:paraId="2A09626E" w14:textId="77777777" w:rsidR="00BB7DE1" w:rsidRPr="00BB7DE1" w:rsidRDefault="00BB7DE1" w:rsidP="00BB7DE1">
            <w:pPr>
              <w:rPr>
                <w:b/>
                <w:bCs/>
              </w:rPr>
            </w:pPr>
          </w:p>
        </w:tc>
      </w:tr>
      <w:tr w:rsidR="00BB7DE1" w:rsidRPr="00BB7DE1" w14:paraId="41B064C9" w14:textId="77777777" w:rsidTr="00991A3F">
        <w:trPr>
          <w:trHeight w:val="3332"/>
        </w:trPr>
        <w:tc>
          <w:tcPr>
            <w:tcW w:w="1626" w:type="dxa"/>
            <w:shd w:val="clear" w:color="auto" w:fill="auto"/>
          </w:tcPr>
          <w:p w14:paraId="5B9F635A" w14:textId="66956CCC" w:rsidR="00BB7DE1" w:rsidRPr="00BB7DE1" w:rsidRDefault="0050550D" w:rsidP="00BB7DE1">
            <w:r w:rsidRPr="0050550D">
              <w:lastRenderedPageBreak/>
              <w:t>Objectif n°3 : Mobiliser la commande publique pour prioriser l'achat de prestations inclusives et réaliser des mises à disposition</w:t>
            </w:r>
          </w:p>
        </w:tc>
        <w:tc>
          <w:tcPr>
            <w:tcW w:w="1560" w:type="dxa"/>
            <w:shd w:val="clear" w:color="auto" w:fill="auto"/>
          </w:tcPr>
          <w:p w14:paraId="0CB35315" w14:textId="1EC9B6AA" w:rsidR="00BB7DE1" w:rsidRPr="00BB7DE1" w:rsidRDefault="00BB7DE1" w:rsidP="00BB7DE1"/>
        </w:tc>
        <w:tc>
          <w:tcPr>
            <w:tcW w:w="1134" w:type="dxa"/>
          </w:tcPr>
          <w:p w14:paraId="568708DF" w14:textId="1909BD8C" w:rsidR="00BB7DE1" w:rsidRPr="00BB7DE1" w:rsidRDefault="00BB7DE1" w:rsidP="00BB7DE1"/>
        </w:tc>
        <w:tc>
          <w:tcPr>
            <w:tcW w:w="3260" w:type="dxa"/>
          </w:tcPr>
          <w:p w14:paraId="4E01DCD3" w14:textId="5263CF65" w:rsidR="00BB7DE1" w:rsidRPr="00BB7DE1" w:rsidRDefault="00BB7DE1" w:rsidP="00BB7DE1"/>
        </w:tc>
        <w:tc>
          <w:tcPr>
            <w:tcW w:w="2410" w:type="dxa"/>
          </w:tcPr>
          <w:p w14:paraId="38817B1F" w14:textId="77777777" w:rsidR="00BB7DE1" w:rsidRPr="00BB7DE1" w:rsidRDefault="00BB7DE1" w:rsidP="00BB7DE1"/>
          <w:p w14:paraId="5A5D2063" w14:textId="77777777" w:rsidR="00BB7DE1" w:rsidRPr="00BB7DE1" w:rsidRDefault="00BB7DE1" w:rsidP="00BB7DE1"/>
        </w:tc>
      </w:tr>
      <w:tr w:rsidR="0050550D" w:rsidRPr="00BB7DE1" w14:paraId="58FD0607" w14:textId="77777777" w:rsidTr="00991A3F">
        <w:trPr>
          <w:trHeight w:val="3332"/>
        </w:trPr>
        <w:tc>
          <w:tcPr>
            <w:tcW w:w="1626" w:type="dxa"/>
            <w:shd w:val="clear" w:color="auto" w:fill="auto"/>
          </w:tcPr>
          <w:p w14:paraId="357858FF" w14:textId="5E51F75A" w:rsidR="0050550D" w:rsidRPr="0050550D" w:rsidRDefault="0050550D" w:rsidP="00BB7DE1">
            <w:r w:rsidRPr="0050550D">
              <w:t>Objectif n°4 : Démontrer la contribution de l'IAE au développement territorial</w:t>
            </w:r>
          </w:p>
        </w:tc>
        <w:tc>
          <w:tcPr>
            <w:tcW w:w="1560" w:type="dxa"/>
            <w:shd w:val="clear" w:color="auto" w:fill="auto"/>
          </w:tcPr>
          <w:p w14:paraId="64FAF2E5" w14:textId="77777777" w:rsidR="0050550D" w:rsidRPr="00BB7DE1" w:rsidRDefault="0050550D" w:rsidP="00BB7DE1"/>
        </w:tc>
        <w:tc>
          <w:tcPr>
            <w:tcW w:w="1134" w:type="dxa"/>
          </w:tcPr>
          <w:p w14:paraId="0A45273E" w14:textId="77777777" w:rsidR="0050550D" w:rsidRPr="00BB7DE1" w:rsidRDefault="0050550D" w:rsidP="00BB7DE1"/>
        </w:tc>
        <w:tc>
          <w:tcPr>
            <w:tcW w:w="3260" w:type="dxa"/>
          </w:tcPr>
          <w:p w14:paraId="19FF2628" w14:textId="77777777" w:rsidR="0050550D" w:rsidRPr="00BB7DE1" w:rsidRDefault="0050550D" w:rsidP="00BB7DE1"/>
        </w:tc>
        <w:tc>
          <w:tcPr>
            <w:tcW w:w="2410" w:type="dxa"/>
          </w:tcPr>
          <w:p w14:paraId="6C677B95" w14:textId="77777777" w:rsidR="0050550D" w:rsidRPr="00BB7DE1" w:rsidRDefault="0050550D" w:rsidP="00BB7DE1"/>
        </w:tc>
      </w:tr>
      <w:tr w:rsidR="0050550D" w:rsidRPr="00BB7DE1" w14:paraId="425881E0" w14:textId="77777777" w:rsidTr="00991A3F">
        <w:trPr>
          <w:trHeight w:val="3332"/>
        </w:trPr>
        <w:tc>
          <w:tcPr>
            <w:tcW w:w="1626" w:type="dxa"/>
            <w:shd w:val="clear" w:color="auto" w:fill="auto"/>
          </w:tcPr>
          <w:p w14:paraId="0F39DDEE" w14:textId="08836A83" w:rsidR="0050550D" w:rsidRPr="0050550D" w:rsidRDefault="0050550D" w:rsidP="00BB7DE1">
            <w:r w:rsidRPr="0050550D">
              <w:t>Objectif n°5 : Améliorer la connaissance des situations économiques des structures et mieux faire face aux difficultés rencontrées</w:t>
            </w:r>
          </w:p>
        </w:tc>
        <w:tc>
          <w:tcPr>
            <w:tcW w:w="1560" w:type="dxa"/>
            <w:shd w:val="clear" w:color="auto" w:fill="auto"/>
          </w:tcPr>
          <w:p w14:paraId="3A03A3F1" w14:textId="77777777" w:rsidR="0050550D" w:rsidRPr="00BB7DE1" w:rsidRDefault="0050550D" w:rsidP="00BB7DE1"/>
        </w:tc>
        <w:tc>
          <w:tcPr>
            <w:tcW w:w="1134" w:type="dxa"/>
          </w:tcPr>
          <w:p w14:paraId="38B51C08" w14:textId="77777777" w:rsidR="0050550D" w:rsidRPr="00BB7DE1" w:rsidRDefault="0050550D" w:rsidP="00BB7DE1"/>
        </w:tc>
        <w:tc>
          <w:tcPr>
            <w:tcW w:w="3260" w:type="dxa"/>
          </w:tcPr>
          <w:p w14:paraId="170143B0" w14:textId="77777777" w:rsidR="0050550D" w:rsidRPr="00BB7DE1" w:rsidRDefault="0050550D" w:rsidP="00BB7DE1"/>
        </w:tc>
        <w:tc>
          <w:tcPr>
            <w:tcW w:w="2410" w:type="dxa"/>
          </w:tcPr>
          <w:p w14:paraId="268E762E" w14:textId="77777777" w:rsidR="0050550D" w:rsidRPr="00BB7DE1" w:rsidRDefault="0050550D" w:rsidP="00BB7DE1"/>
        </w:tc>
      </w:tr>
    </w:tbl>
    <w:p w14:paraId="701A6117" w14:textId="77777777" w:rsidR="00515A5A" w:rsidRDefault="00515A5A" w:rsidP="00BB7DE1">
      <w:pPr>
        <w:rPr>
          <w:b/>
        </w:rPr>
      </w:pPr>
    </w:p>
    <w:p w14:paraId="4DD8708A" w14:textId="77777777" w:rsidR="002C013A" w:rsidRPr="00BB7DE1" w:rsidRDefault="002C013A" w:rsidP="00BB7DE1">
      <w:pPr>
        <w:rPr>
          <w:b/>
        </w:rPr>
      </w:pPr>
    </w:p>
    <w:p w14:paraId="640E4C84" w14:textId="77777777" w:rsidR="00BB7DE1" w:rsidRPr="00BB7DE1" w:rsidRDefault="00BB7DE1" w:rsidP="00BB7DE1">
      <w:pPr>
        <w:rPr>
          <w:b/>
        </w:rPr>
      </w:pPr>
      <w:r w:rsidRPr="00BB7DE1">
        <w:rPr>
          <w:b/>
        </w:rPr>
        <w:t>Eléments qualitatifs à mentionner au bilan :</w:t>
      </w:r>
    </w:p>
    <w:p w14:paraId="139A5E9D" w14:textId="77777777" w:rsidR="00BB7DE1" w:rsidRPr="00BB7DE1" w:rsidRDefault="00BB7DE1" w:rsidP="00BB7DE1">
      <w:pPr>
        <w:rPr>
          <w:b/>
          <w:i/>
        </w:rPr>
      </w:pPr>
      <w:r w:rsidRPr="00BB7DE1">
        <w:rPr>
          <w:b/>
        </w:rPr>
        <w:t xml:space="preserve">- </w:t>
      </w:r>
      <w:r w:rsidRPr="00BB7DE1">
        <w:rPr>
          <w:b/>
          <w:i/>
        </w:rPr>
        <w:t>Partenariat</w:t>
      </w:r>
    </w:p>
    <w:p w14:paraId="242C6DC6" w14:textId="77777777" w:rsidR="00BB7DE1" w:rsidRPr="00BB7DE1" w:rsidRDefault="00BB7DE1" w:rsidP="00BB7DE1">
      <w:pPr>
        <w:rPr>
          <w:b/>
          <w:i/>
        </w:rPr>
      </w:pPr>
      <w:r w:rsidRPr="00BB7DE1">
        <w:rPr>
          <w:b/>
          <w:i/>
        </w:rPr>
        <w:t>- Innovation</w:t>
      </w:r>
    </w:p>
    <w:p w14:paraId="4F594160" w14:textId="2568820A" w:rsidR="00BB7DE1" w:rsidRPr="00FE6963" w:rsidRDefault="00BB7DE1" w:rsidP="00BB7DE1">
      <w:pPr>
        <w:rPr>
          <w:b/>
          <w:i/>
        </w:rPr>
      </w:pPr>
      <w:r w:rsidRPr="00BB7DE1">
        <w:rPr>
          <w:b/>
          <w:i/>
        </w:rPr>
        <w:t>- Utilité sociale</w:t>
      </w:r>
    </w:p>
    <w:p w14:paraId="2E2DEA0D" w14:textId="77777777" w:rsidR="00BB7DE1" w:rsidRPr="00BB7DE1" w:rsidRDefault="00BB7DE1" w:rsidP="00BB7DE1">
      <w:pPr>
        <w:rPr>
          <w:b/>
        </w:rPr>
      </w:pPr>
      <w:r w:rsidRPr="00BB7DE1">
        <w:rPr>
          <w:b/>
        </w:rPr>
        <w:lastRenderedPageBreak/>
        <w:t>Pièces justificatives à joindre au bilan :</w:t>
      </w:r>
    </w:p>
    <w:p w14:paraId="3278B6F6" w14:textId="77777777" w:rsidR="00BB7DE1" w:rsidRPr="00BB7DE1" w:rsidRDefault="00BB7DE1" w:rsidP="00BB7DE1">
      <w:pPr>
        <w:numPr>
          <w:ilvl w:val="0"/>
          <w:numId w:val="1"/>
        </w:numPr>
        <w:rPr>
          <w:b/>
        </w:rPr>
      </w:pPr>
      <w:r w:rsidRPr="00BB7DE1">
        <w:rPr>
          <w:b/>
        </w:rPr>
        <w:t>Tout élément permettant de justifier du déroulement de l’action ; pour illustration : étude de cas entrant dans le cadre du projet, compte-rendu d’un comité de pilotage ou de suivi de l’action, compte-rendu d’entretien(s) lié(s) au déroulement de l’action.</w:t>
      </w:r>
    </w:p>
    <w:p w14:paraId="5C0FC4B8" w14:textId="77777777" w:rsidR="00BB7DE1" w:rsidRPr="00BB7DE1" w:rsidRDefault="00BB7DE1" w:rsidP="00BB7DE1">
      <w:pPr>
        <w:rPr>
          <w:b/>
        </w:rPr>
      </w:pPr>
    </w:p>
    <w:p w14:paraId="63FAC060" w14:textId="77777777" w:rsidR="00BB7DE1" w:rsidRPr="00BB7DE1" w:rsidRDefault="00BB7DE1" w:rsidP="00BB7DE1">
      <w:pPr>
        <w:rPr>
          <w:b/>
        </w:rPr>
      </w:pPr>
    </w:p>
    <w:p w14:paraId="25B3148B" w14:textId="77777777" w:rsidR="00BB7DE1" w:rsidRPr="00BB7DE1" w:rsidRDefault="00BB7DE1" w:rsidP="00BB7DE1">
      <w:pPr>
        <w:rPr>
          <w:b/>
        </w:rPr>
      </w:pPr>
    </w:p>
    <w:p w14:paraId="6227E106" w14:textId="77777777" w:rsidR="00BB7DE1" w:rsidRPr="00BB7DE1" w:rsidRDefault="00BB7DE1" w:rsidP="00BB7DE1">
      <w:pPr>
        <w:rPr>
          <w:b/>
        </w:rPr>
      </w:pPr>
    </w:p>
    <w:p w14:paraId="2EF09CCA" w14:textId="77777777" w:rsidR="00BB7DE1" w:rsidRPr="00BB7DE1" w:rsidRDefault="00BB7DE1" w:rsidP="00BB7DE1">
      <w:pPr>
        <w:rPr>
          <w:b/>
        </w:rPr>
      </w:pPr>
    </w:p>
    <w:p w14:paraId="5FBBC3A7" w14:textId="77777777" w:rsidR="00BB7DE1" w:rsidRPr="00BB7DE1" w:rsidRDefault="00BB7DE1" w:rsidP="00BB7DE1">
      <w:pPr>
        <w:rPr>
          <w:b/>
        </w:rPr>
      </w:pPr>
    </w:p>
    <w:p w14:paraId="5E8F51DC" w14:textId="77777777" w:rsidR="00BB7DE1" w:rsidRDefault="00BB7DE1"/>
    <w:sectPr w:rsidR="00BB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Times New Roman"/>
    <w:charset w:val="00"/>
    <w:family w:val="roman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A7DB3"/>
    <w:multiLevelType w:val="hybridMultilevel"/>
    <w:tmpl w:val="3C7E2E34"/>
    <w:lvl w:ilvl="0" w:tplc="A634C9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755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E1"/>
    <w:rsid w:val="000E3B45"/>
    <w:rsid w:val="002C013A"/>
    <w:rsid w:val="0050550D"/>
    <w:rsid w:val="00515A5A"/>
    <w:rsid w:val="00637448"/>
    <w:rsid w:val="0076256F"/>
    <w:rsid w:val="007B0200"/>
    <w:rsid w:val="008720D5"/>
    <w:rsid w:val="00BB7DE1"/>
    <w:rsid w:val="00CA49C7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1A74"/>
  <w15:chartTrackingRefBased/>
  <w15:docId w15:val="{0413BE82-46A7-4B13-AC5E-FB6775CE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rsid w:val="008720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720D5"/>
    <w:pPr>
      <w:spacing w:after="0" w:line="240" w:lineRule="auto"/>
    </w:pPr>
    <w:rPr>
      <w:rFonts w:ascii="Abadi MT Condensed Light" w:eastAsia="Times New Roman" w:hAnsi="Abadi MT Condensed Light" w:cs="Times New Roman"/>
      <w:kern w:val="0"/>
      <w:sz w:val="20"/>
      <w:szCs w:val="20"/>
      <w:lang w:eastAsia="fr-FR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8720D5"/>
    <w:rPr>
      <w:rFonts w:ascii="Abadi MT Condensed Light" w:eastAsia="Times New Roman" w:hAnsi="Abadi MT Condensed Light" w:cs="Times New Roman"/>
      <w:kern w:val="0"/>
      <w:sz w:val="20"/>
      <w:szCs w:val="20"/>
      <w:lang w:eastAsia="fr-FR"/>
      <w14:ligatures w14:val="non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8720D5"/>
    <w:pPr>
      <w:spacing w:after="120" w:line="480" w:lineRule="auto"/>
    </w:pPr>
    <w:rPr>
      <w:rFonts w:ascii="Abadi MT Condensed Light" w:eastAsia="Times New Roman" w:hAnsi="Abadi MT Condensed Light" w:cs="Times New Roman"/>
      <w:kern w:val="0"/>
      <w:szCs w:val="20"/>
      <w:lang w:eastAsia="fr-FR"/>
      <w14:ligatures w14:val="non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720D5"/>
    <w:rPr>
      <w:rFonts w:ascii="Abadi MT Condensed Light" w:eastAsia="Times New Roman" w:hAnsi="Abadi MT Condensed Light" w:cs="Times New Roman"/>
      <w:kern w:val="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DUBIEF, Sarah (DR-BOURG)</dc:creator>
  <cp:keywords/>
  <dc:description/>
  <cp:lastModifiedBy>TISSERAND, Pauline (DREETS-BFC)</cp:lastModifiedBy>
  <cp:revision>7</cp:revision>
  <dcterms:created xsi:type="dcterms:W3CDTF">2024-08-13T08:20:00Z</dcterms:created>
  <dcterms:modified xsi:type="dcterms:W3CDTF">2026-05-07T13:14:00Z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2026-05-07T13:13:58Z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da410cbd-75b2-4482-a7ae-3bdda5431972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